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C4547">
      <w:pPr>
        <w:ind w:firstLine="5783" w:firstLineChars="400"/>
        <w:rPr>
          <w:b/>
          <w:color w:val="000000" w:themeColor="text1"/>
          <w:sz w:val="144"/>
          <w14:textFill>
            <w14:solidFill>
              <w14:schemeClr w14:val="tx1"/>
            </w14:solidFill>
          </w14:textFill>
        </w:rPr>
      </w:pPr>
      <w:r>
        <w:rPr>
          <w:b/>
          <w:color w:val="000000" w:themeColor="text1"/>
          <w:sz w:val="144"/>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-133350</wp:posOffset>
                </wp:positionH>
                <wp:positionV relativeFrom="paragraph">
                  <wp:posOffset>-417195</wp:posOffset>
                </wp:positionV>
                <wp:extent cx="6132830" cy="361950"/>
                <wp:effectExtent l="0" t="0" r="8890" b="3810"/>
                <wp:wrapNone/>
                <wp:docPr id="7" name="矩形 5"/>
                <wp:cNvGraphicFramePr/>
                <a:graphic xmlns:a="http://schemas.openxmlformats.org/drawingml/2006/main">
                  <a:graphicData uri="http://schemas.microsoft.com/office/word/2010/wordprocessingShape">
                    <wps:wsp>
                      <wps:cNvSpPr>
                        <a:spLocks noChangeArrowheads="1"/>
                      </wps:cNvSpPr>
                      <wps:spPr bwMode="auto">
                        <a:xfrm>
                          <a:off x="0" y="0"/>
                          <a:ext cx="6132830" cy="36195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矩形 5" o:spid="_x0000_s1026" o:spt="1" style="position:absolute;left:0pt;margin-left:-10.5pt;margin-top:-32.85pt;height:28.5pt;width:482.9pt;z-index:251663360;mso-width-relative:page;mso-height-relative:page;" fillcolor="#FFFFFF" filled="t" stroked="f" coordsize="21600,21600" o:gfxdata="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4cdV&#10;bNkAAAAKAQAADwAAAAAAAAABACAAAAAiAAAAZHJzL2Rvd25yZXYueG1sUEsBAhQAFAAAAAgAh07i&#10;QI2MVZohAgAANAQAAA4AAAAAAAAAAQAgAAAAKAEAAGRycy9lMm9Eb2MueG1sUEsFBgAAAAAGAAYA&#10;WQEAALsFAAAAAA==&#10;">
                <v:fill on="t" focussize="0,0"/>
                <v:stroke on="f"/>
                <v:imagedata o:title=""/>
                <o:lock v:ext="edit" aspectratio="f"/>
              </v:rect>
            </w:pict>
          </mc:Fallback>
        </mc:AlternateContent>
      </w:r>
      <w:r>
        <w:rPr>
          <w:rFonts w:hint="eastAsia"/>
          <w:b/>
          <w:color w:val="000000" w:themeColor="text1"/>
          <w:sz w:val="144"/>
          <w14:textFill>
            <w14:solidFill>
              <w14:schemeClr w14:val="tx1"/>
            </w14:solidFill>
          </w14:textFill>
        </w:rPr>
        <w:t>JJF</w:t>
      </w:r>
    </w:p>
    <w:p w14:paraId="395AA509">
      <w:pPr>
        <w:autoSpaceDE w:val="0"/>
        <w:autoSpaceDN w:val="0"/>
        <w:adjustRightInd w:val="0"/>
        <w:jc w:val="center"/>
        <w:rPr>
          <w:rFonts w:hint="eastAsia" w:ascii="宋体" w:hAnsi="宋体" w:cs="宋体"/>
          <w:b/>
          <w:sz w:val="48"/>
          <w:szCs w:val="48"/>
        </w:rPr>
      </w:pPr>
      <w:r>
        <w:rPr>
          <w:rFonts w:hint="eastAsia" w:ascii="宋体" w:hAnsi="宋体" w:cs="宋体"/>
          <w:b/>
          <w:sz w:val="48"/>
          <w:szCs w:val="48"/>
          <w:lang w:val="zh-CN"/>
        </w:rPr>
        <w:t>中华人民共和国国家计量技术规范</w:t>
      </w:r>
    </w:p>
    <w:p w14:paraId="657A27DA">
      <w:pPr>
        <w:jc w:val="right"/>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JJF XXXX-XXXX</w:t>
      </w:r>
    </w:p>
    <w:p w14:paraId="1A57D161">
      <w:pPr>
        <w:autoSpaceDE w:val="0"/>
        <w:autoSpaceDN w:val="0"/>
        <w:adjustRightInd w:val="0"/>
        <w:rPr>
          <w:rFonts w:hint="eastAsia" w:ascii="宋体" w:hAnsi="宋体" w:cs="宋体"/>
          <w:u w:val="single"/>
        </w:rPr>
      </w:pPr>
    </w:p>
    <w:p w14:paraId="36084164">
      <w:pPr>
        <w:autoSpaceDE w:val="0"/>
        <w:autoSpaceDN w:val="0"/>
        <w:adjustRightInd w:val="0"/>
        <w:rPr>
          <w:rFonts w:hint="eastAsia" w:ascii="宋体" w:hAnsi="宋体" w:cs="宋体"/>
          <w:u w:val="single"/>
        </w:rPr>
      </w:pPr>
      <w:r>
        <w:rPr>
          <w:rFonts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224790</wp:posOffset>
                </wp:positionH>
                <wp:positionV relativeFrom="paragraph">
                  <wp:posOffset>143510</wp:posOffset>
                </wp:positionV>
                <wp:extent cx="5126355" cy="36195"/>
                <wp:effectExtent l="0" t="4445" r="9525" b="5080"/>
                <wp:wrapNone/>
                <wp:docPr id="3" name="直接连接符 23"/>
                <wp:cNvGraphicFramePr/>
                <a:graphic xmlns:a="http://schemas.openxmlformats.org/drawingml/2006/main">
                  <a:graphicData uri="http://schemas.microsoft.com/office/word/2010/wordprocessingShape">
                    <wps:wsp>
                      <wps:cNvCnPr/>
                      <wps:spPr>
                        <a:xfrm>
                          <a:off x="0" y="0"/>
                          <a:ext cx="5126355" cy="3619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23" o:spid="_x0000_s1026" o:spt="20" style="position:absolute;left:0pt;margin-left:17.7pt;margin-top:11.3pt;height:2.85pt;width:403.65pt;z-index:251660288;mso-width-relative:page;mso-height-relative:page;" filled="f" stroked="t" coordsize="21600,21600" o:gfxdata="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K8A5PXAAAACAEAAA8AAAAAAAAAAQAgAAAAIgAAAGRycy9kb3ducmV2LnhtbFBLAQIUABQAAAAI&#10;AIdO4kCvMqye7gEAAN0DAAAOAAAAAAAAAAEAIAAAACYBAABkcnMvZTJvRG9jLnhtbFBLBQYAAAAA&#10;BgAGAFkBAACGBQAAAAA=&#10;">
                <v:fill on="f" focussize="0,0"/>
                <v:stroke color="#000000" joinstyle="round"/>
                <v:imagedata o:title=""/>
                <o:lock v:ext="edit" aspectratio="f"/>
              </v:line>
            </w:pict>
          </mc:Fallback>
        </mc:AlternateContent>
      </w:r>
    </w:p>
    <w:p w14:paraId="75C17A48">
      <w:pPr>
        <w:autoSpaceDE w:val="0"/>
        <w:autoSpaceDN w:val="0"/>
        <w:adjustRightInd w:val="0"/>
        <w:rPr>
          <w:rFonts w:hint="eastAsia" w:ascii="宋体" w:hAnsi="宋体" w:cs="宋体"/>
          <w:u w:val="single"/>
        </w:rPr>
      </w:pPr>
    </w:p>
    <w:p w14:paraId="1A7D1E02">
      <w:pPr>
        <w:autoSpaceDE w:val="0"/>
        <w:autoSpaceDN w:val="0"/>
        <w:adjustRightInd w:val="0"/>
        <w:rPr>
          <w:rFonts w:hint="eastAsia" w:ascii="宋体" w:hAnsi="宋体" w:cs="宋体"/>
          <w:u w:val="single"/>
        </w:rPr>
      </w:pPr>
    </w:p>
    <w:p w14:paraId="4CF50453">
      <w:pPr>
        <w:autoSpaceDE w:val="0"/>
        <w:autoSpaceDN w:val="0"/>
        <w:adjustRightInd w:val="0"/>
        <w:rPr>
          <w:rFonts w:hint="eastAsia" w:ascii="宋体" w:hAnsi="宋体" w:cs="宋体"/>
          <w:u w:val="single"/>
        </w:rPr>
      </w:pPr>
    </w:p>
    <w:p w14:paraId="6EB3B692">
      <w:pPr>
        <w:autoSpaceDE w:val="0"/>
        <w:autoSpaceDN w:val="0"/>
        <w:adjustRightInd w:val="0"/>
        <w:rPr>
          <w:rFonts w:hint="eastAsia" w:ascii="宋体" w:hAnsi="宋体" w:cs="宋体"/>
          <w:u w:val="single"/>
        </w:rPr>
      </w:pPr>
    </w:p>
    <w:p w14:paraId="7F6FF7BF">
      <w:pPr>
        <w:autoSpaceDE w:val="0"/>
        <w:autoSpaceDN w:val="0"/>
        <w:adjustRightInd w:val="0"/>
        <w:rPr>
          <w:rFonts w:hint="eastAsia" w:ascii="宋体" w:hAnsi="宋体" w:cs="宋体"/>
          <w:u w:val="single"/>
        </w:rPr>
      </w:pPr>
    </w:p>
    <w:p w14:paraId="05804C35">
      <w:pPr>
        <w:autoSpaceDE w:val="0"/>
        <w:autoSpaceDN w:val="0"/>
        <w:adjustRightInd w:val="0"/>
        <w:rPr>
          <w:rFonts w:hint="eastAsia" w:ascii="宋体" w:hAnsi="宋体" w:cs="宋体"/>
          <w:u w:val="single"/>
        </w:rPr>
      </w:pPr>
    </w:p>
    <w:p w14:paraId="25F83D6F">
      <w:pPr>
        <w:autoSpaceDE w:val="0"/>
        <w:autoSpaceDN w:val="0"/>
        <w:adjustRightInd w:val="0"/>
        <w:jc w:val="center"/>
        <w:rPr>
          <w:rFonts w:hint="eastAsia" w:ascii="宋体" w:hAnsi="宋体" w:cs="宋体"/>
          <w:sz w:val="52"/>
          <w:szCs w:val="52"/>
        </w:rPr>
      </w:pPr>
      <w:r>
        <w:rPr>
          <w:rFonts w:hint="eastAsia" w:ascii="黑体" w:hAnsi="黑体" w:eastAsia="黑体"/>
          <w:bCs/>
          <w:color w:val="000000" w:themeColor="text1"/>
          <w:sz w:val="52"/>
          <w:szCs w:val="52"/>
          <w14:textFill>
            <w14:solidFill>
              <w14:schemeClr w14:val="tx1"/>
            </w14:solidFill>
          </w14:textFill>
        </w:rPr>
        <w:t>氧化石墨烯浆料测量评价技术规范</w:t>
      </w:r>
    </w:p>
    <w:p w14:paraId="3F599D4C">
      <w:pPr>
        <w:autoSpaceDE w:val="0"/>
        <w:autoSpaceDN w:val="0"/>
        <w:adjustRightInd w:val="0"/>
        <w:jc w:val="center"/>
        <w:rPr>
          <w:rFonts w:hint="eastAsia" w:ascii="黑体" w:hAnsi="黑体" w:eastAsia="黑体"/>
          <w:color w:val="000000" w:themeColor="text1"/>
          <w:sz w:val="28"/>
          <w:szCs w:val="28"/>
          <w14:textFill>
            <w14:solidFill>
              <w14:schemeClr w14:val="tx1"/>
            </w14:solidFill>
          </w14:textFill>
        </w:rPr>
      </w:pPr>
      <w:bookmarkStart w:id="0" w:name="OLE_LINK1"/>
      <w:r>
        <w:rPr>
          <w:rFonts w:ascii="黑体" w:hAnsi="黑体" w:eastAsia="黑体"/>
          <w:color w:val="000000" w:themeColor="text1"/>
          <w:sz w:val="28"/>
          <w:szCs w:val="28"/>
          <w14:textFill>
            <w14:solidFill>
              <w14:schemeClr w14:val="tx1"/>
            </w14:solidFill>
          </w14:textFill>
        </w:rPr>
        <w:t>Technical</w:t>
      </w:r>
      <w:r>
        <w:rPr>
          <w:rFonts w:hint="eastAsia" w:ascii="黑体" w:hAnsi="黑体" w:eastAsia="黑体"/>
          <w:color w:val="000000" w:themeColor="text1"/>
          <w:sz w:val="28"/>
          <w:szCs w:val="28"/>
          <w14:textFill>
            <w14:solidFill>
              <w14:schemeClr w14:val="tx1"/>
            </w14:solidFill>
          </w14:textFill>
        </w:rPr>
        <w:t xml:space="preserve"> Specification for Measuring and evaluating the properties of</w:t>
      </w:r>
      <w:r>
        <w:rPr>
          <w:rFonts w:ascii="黑体" w:hAnsi="黑体" w:eastAsia="黑体"/>
          <w:color w:val="000000" w:themeColor="text1"/>
          <w:sz w:val="28"/>
          <w:szCs w:val="28"/>
          <w14:textFill>
            <w14:solidFill>
              <w14:schemeClr w14:val="tx1"/>
            </w14:solidFill>
          </w14:textFill>
        </w:rPr>
        <w:t xml:space="preserve"> </w:t>
      </w:r>
      <w:r>
        <w:rPr>
          <w:rFonts w:hint="eastAsia" w:ascii="黑体" w:hAnsi="黑体" w:eastAsia="黑体"/>
          <w:color w:val="000000" w:themeColor="text1"/>
          <w:sz w:val="28"/>
          <w:szCs w:val="28"/>
          <w14:textFill>
            <w14:solidFill>
              <w14:schemeClr w14:val="tx1"/>
            </w14:solidFill>
          </w14:textFill>
        </w:rPr>
        <w:t>G</w:t>
      </w:r>
      <w:r>
        <w:rPr>
          <w:rFonts w:ascii="黑体" w:hAnsi="黑体" w:eastAsia="黑体"/>
          <w:color w:val="000000" w:themeColor="text1"/>
          <w:sz w:val="28"/>
          <w:szCs w:val="28"/>
          <w14:textFill>
            <w14:solidFill>
              <w14:schemeClr w14:val="tx1"/>
            </w14:solidFill>
          </w14:textFill>
        </w:rPr>
        <w:t xml:space="preserve">raphene </w:t>
      </w:r>
      <w:r>
        <w:rPr>
          <w:rFonts w:hint="eastAsia" w:ascii="黑体" w:hAnsi="黑体" w:eastAsia="黑体"/>
          <w:color w:val="000000" w:themeColor="text1"/>
          <w:sz w:val="28"/>
          <w:szCs w:val="28"/>
          <w14:textFill>
            <w14:solidFill>
              <w14:schemeClr w14:val="tx1"/>
            </w14:solidFill>
          </w14:textFill>
        </w:rPr>
        <w:t xml:space="preserve">Oxide suspension </w:t>
      </w:r>
    </w:p>
    <w:bookmarkEnd w:id="0"/>
    <w:p w14:paraId="6BF43B82">
      <w:pPr>
        <w:autoSpaceDE w:val="0"/>
        <w:autoSpaceDN w:val="0"/>
        <w:adjustRightInd w:val="0"/>
        <w:jc w:val="center"/>
        <w:rPr>
          <w:rFonts w:hint="eastAsia" w:ascii="黑体" w:hAnsi="黑体" w:eastAsia="黑体"/>
          <w:color w:val="000000" w:themeColor="text1"/>
          <w:sz w:val="28"/>
          <w:szCs w:val="28"/>
          <w14:textFill>
            <w14:solidFill>
              <w14:schemeClr w14:val="tx1"/>
            </w14:solidFill>
          </w14:textFill>
        </w:rPr>
      </w:pPr>
    </w:p>
    <w:p w14:paraId="139BCE55">
      <w:pPr>
        <w:jc w:val="center"/>
        <w:rPr>
          <w:b/>
          <w:color w:val="000000" w:themeColor="text1"/>
          <w:sz w:val="30"/>
          <w:szCs w:val="20"/>
          <w14:textFill>
            <w14:solidFill>
              <w14:schemeClr w14:val="tx1"/>
            </w14:solidFill>
          </w14:textFill>
        </w:rPr>
      </w:pPr>
      <w:r>
        <w:rPr>
          <w:rFonts w:hint="eastAsia"/>
          <w:b/>
          <w:color w:val="000000" w:themeColor="text1"/>
          <w:sz w:val="30"/>
          <w:szCs w:val="20"/>
          <w14:textFill>
            <w14:solidFill>
              <w14:schemeClr w14:val="tx1"/>
            </w14:solidFill>
          </w14:textFill>
        </w:rPr>
        <w:t>（征求意见稿）</w:t>
      </w:r>
    </w:p>
    <w:p w14:paraId="5B476021">
      <w:pPr>
        <w:autoSpaceDE w:val="0"/>
        <w:autoSpaceDN w:val="0"/>
        <w:adjustRightInd w:val="0"/>
        <w:jc w:val="center"/>
        <w:rPr>
          <w:rFonts w:hint="eastAsia" w:ascii="宋体" w:hAnsi="宋体" w:cs="宋体"/>
          <w:sz w:val="32"/>
          <w:szCs w:val="32"/>
        </w:rPr>
      </w:pPr>
    </w:p>
    <w:p w14:paraId="5C3FB63E">
      <w:pPr>
        <w:autoSpaceDE w:val="0"/>
        <w:autoSpaceDN w:val="0"/>
        <w:adjustRightInd w:val="0"/>
        <w:jc w:val="center"/>
        <w:rPr>
          <w:rFonts w:hint="eastAsia" w:ascii="宋体" w:hAnsi="宋体" w:cs="宋体"/>
          <w:sz w:val="32"/>
          <w:szCs w:val="32"/>
        </w:rPr>
      </w:pPr>
    </w:p>
    <w:p w14:paraId="133F43B7">
      <w:pPr>
        <w:autoSpaceDE w:val="0"/>
        <w:autoSpaceDN w:val="0"/>
        <w:adjustRightInd w:val="0"/>
        <w:jc w:val="center"/>
        <w:rPr>
          <w:rFonts w:hint="eastAsia" w:ascii="宋体" w:hAnsi="宋体" w:cs="宋体"/>
          <w:sz w:val="32"/>
          <w:szCs w:val="32"/>
        </w:rPr>
      </w:pPr>
    </w:p>
    <w:p w14:paraId="7D157920">
      <w:pPr>
        <w:autoSpaceDE w:val="0"/>
        <w:autoSpaceDN w:val="0"/>
        <w:adjustRightInd w:val="0"/>
        <w:jc w:val="center"/>
        <w:rPr>
          <w:rFonts w:hint="eastAsia" w:ascii="宋体" w:hAnsi="宋体" w:cs="宋体"/>
          <w:sz w:val="32"/>
          <w:szCs w:val="32"/>
        </w:rPr>
      </w:pPr>
    </w:p>
    <w:p w14:paraId="3BD4C2ED">
      <w:pPr>
        <w:autoSpaceDE w:val="0"/>
        <w:autoSpaceDN w:val="0"/>
        <w:adjustRightInd w:val="0"/>
        <w:jc w:val="center"/>
        <w:rPr>
          <w:rFonts w:hint="eastAsia" w:ascii="宋体" w:hAnsi="宋体" w:cs="宋体"/>
          <w:sz w:val="32"/>
          <w:szCs w:val="32"/>
        </w:rPr>
      </w:pPr>
    </w:p>
    <w:p w14:paraId="6C46D324">
      <w:pPr>
        <w:autoSpaceDE w:val="0"/>
        <w:autoSpaceDN w:val="0"/>
        <w:adjustRightInd w:val="0"/>
        <w:jc w:val="center"/>
        <w:rPr>
          <w:rFonts w:hint="eastAsia" w:ascii="宋体" w:hAnsi="宋体" w:cs="宋体"/>
          <w:sz w:val="32"/>
          <w:szCs w:val="32"/>
        </w:rPr>
      </w:pPr>
    </w:p>
    <w:p w14:paraId="741EEC22">
      <w:pPr>
        <w:autoSpaceDE w:val="0"/>
        <w:autoSpaceDN w:val="0"/>
        <w:adjustRightInd w:val="0"/>
        <w:jc w:val="center"/>
        <w:rPr>
          <w:rFonts w:hint="eastAsia" w:ascii="宋体" w:hAnsi="宋体" w:cs="宋体"/>
          <w:sz w:val="32"/>
          <w:szCs w:val="32"/>
        </w:rPr>
      </w:pPr>
    </w:p>
    <w:p w14:paraId="6155CF75">
      <w:pPr>
        <w:autoSpaceDE w:val="0"/>
        <w:autoSpaceDN w:val="0"/>
        <w:adjustRightInd w:val="0"/>
        <w:jc w:val="center"/>
        <w:rPr>
          <w:rFonts w:hint="eastAsia" w:ascii="宋体" w:hAnsi="宋体" w:cs="宋体"/>
          <w:sz w:val="32"/>
          <w:szCs w:val="32"/>
        </w:rPr>
      </w:pPr>
    </w:p>
    <w:p w14:paraId="3404A621">
      <w:pPr>
        <w:autoSpaceDE w:val="0"/>
        <w:autoSpaceDN w:val="0"/>
        <w:adjustRightInd w:val="0"/>
        <w:jc w:val="center"/>
        <w:rPr>
          <w:rFonts w:hint="eastAsia" w:ascii="宋体" w:hAnsi="宋体" w:cs="宋体"/>
          <w:sz w:val="32"/>
          <w:szCs w:val="32"/>
        </w:rPr>
      </w:pPr>
    </w:p>
    <w:p w14:paraId="316605AC">
      <w:pPr>
        <w:autoSpaceDE w:val="0"/>
        <w:autoSpaceDN w:val="0"/>
        <w:adjustRightInd w:val="0"/>
        <w:jc w:val="center"/>
        <w:rPr>
          <w:rFonts w:hint="eastAsia" w:ascii="宋体" w:hAnsi="宋体" w:cs="宋体"/>
          <w:sz w:val="32"/>
          <w:szCs w:val="32"/>
        </w:rPr>
      </w:pPr>
    </w:p>
    <w:p w14:paraId="31F46E7A">
      <w:pPr>
        <w:autoSpaceDE w:val="0"/>
        <w:autoSpaceDN w:val="0"/>
        <w:adjustRightInd w:val="0"/>
        <w:jc w:val="center"/>
        <w:rPr>
          <w:rFonts w:hint="eastAsia" w:ascii="宋体" w:hAnsi="宋体" w:cs="宋体"/>
          <w:sz w:val="32"/>
          <w:szCs w:val="32"/>
        </w:rPr>
      </w:pPr>
    </w:p>
    <w:p w14:paraId="093F13BE">
      <w:pPr>
        <w:autoSpaceDE w:val="0"/>
        <w:autoSpaceDN w:val="0"/>
        <w:adjustRightInd w:val="0"/>
        <w:jc w:val="center"/>
        <w:rPr>
          <w:rFonts w:hint="eastAsia" w:ascii="宋体" w:hAnsi="宋体" w:cs="宋体"/>
          <w:sz w:val="32"/>
          <w:szCs w:val="32"/>
        </w:rPr>
      </w:pPr>
    </w:p>
    <w:p w14:paraId="53E51632">
      <w:pPr>
        <w:autoSpaceDE w:val="0"/>
        <w:autoSpaceDN w:val="0"/>
        <w:adjustRightInd w:val="0"/>
        <w:rPr>
          <w:rFonts w:hint="eastAsia" w:ascii="黑体" w:hAnsi="黑体" w:eastAsia="黑体"/>
          <w:color w:val="000000" w:themeColor="text1"/>
          <w:sz w:val="28"/>
          <w:u w:val="single"/>
          <w14:textFill>
            <w14:solidFill>
              <w14:schemeClr w14:val="tx1"/>
            </w14:solidFill>
          </w14:textFill>
        </w:rPr>
      </w:pPr>
      <w:r>
        <w:rPr>
          <w:rFonts w:hint="eastAsia" w:ascii="黑体" w:hAnsi="黑体" w:eastAsia="黑体"/>
          <w:color w:val="000000" w:themeColor="text1"/>
          <w:sz w:val="28"/>
          <w:u w:val="single"/>
          <w14:textFill>
            <w14:solidFill>
              <w14:schemeClr w14:val="tx1"/>
            </w14:solidFill>
          </w14:textFill>
        </w:rPr>
        <w:t>20XX-XX-XX   发布                           20XX-XX-XX   实施</w:t>
      </w:r>
    </w:p>
    <w:p w14:paraId="06DA3325">
      <w:pPr>
        <w:autoSpaceDE w:val="0"/>
        <w:autoSpaceDN w:val="0"/>
        <w:adjustRightInd w:val="0"/>
        <w:jc w:val="center"/>
        <w:rPr>
          <w:rFonts w:hint="eastAsia" w:ascii="宋体" w:hAnsi="宋体" w:cs="宋体"/>
          <w:sz w:val="44"/>
          <w:szCs w:val="44"/>
        </w:rPr>
        <w:sectPr>
          <w:headerReference r:id="rId4" w:type="first"/>
          <w:headerReference r:id="rId3" w:type="default"/>
          <w:pgSz w:w="12240" w:h="15840"/>
          <w:pgMar w:top="1440" w:right="1797" w:bottom="1440" w:left="1797" w:header="720" w:footer="720" w:gutter="0"/>
          <w:pgNumType w:start="1"/>
          <w:cols w:space="720" w:num="1"/>
          <w:titlePg/>
        </w:sectPr>
      </w:pPr>
      <w:r>
        <w:rPr>
          <w:rFonts w:hint="eastAsia" w:ascii="宋体" w:hAnsi="宋体" w:cs="宋体"/>
          <w:sz w:val="44"/>
          <w:szCs w:val="44"/>
          <w:lang w:val="zh-CN"/>
        </w:rPr>
        <w:t>国家市场监督管理总局</w:t>
      </w:r>
      <w:r>
        <w:rPr>
          <w:rFonts w:hint="eastAsia" w:ascii="黑体" w:hAnsi="黑体" w:eastAsia="黑体"/>
          <w:color w:val="000000" w:themeColor="text1"/>
          <w:sz w:val="28"/>
          <w:szCs w:val="28"/>
          <w14:textFill>
            <w14:solidFill>
              <w14:schemeClr w14:val="tx1"/>
            </w14:solidFill>
          </w14:textFill>
        </w:rPr>
        <w:t>发布</w:t>
      </w:r>
    </w:p>
    <w:p w14:paraId="7BE8C34B">
      <w:pPr>
        <w:autoSpaceDE w:val="0"/>
        <w:autoSpaceDN w:val="0"/>
        <w:adjustRightInd w:val="0"/>
        <w:spacing w:line="276" w:lineRule="auto"/>
        <w:ind w:right="3606" w:rightChars="1717"/>
        <w:rPr>
          <w:rFonts w:hint="eastAsia" w:ascii="黑体" w:hAnsi="黑体" w:eastAsia="黑体"/>
          <w:bCs/>
          <w:color w:val="000000" w:themeColor="text1"/>
          <w:sz w:val="44"/>
          <w:szCs w:val="44"/>
          <w14:textFill>
            <w14:solidFill>
              <w14:schemeClr w14:val="tx1"/>
            </w14:solidFill>
          </w14:textFill>
        </w:rPr>
      </w:pPr>
      <w:r>
        <w:rPr>
          <w:rFonts w:ascii="黑体" w:hAnsi="黑体" w:eastAsia="黑体"/>
          <w:bCs/>
          <w:color w:val="000000" w:themeColor="text1"/>
          <w:sz w:val="44"/>
          <w:szCs w:val="4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3697605</wp:posOffset>
                </wp:positionH>
                <wp:positionV relativeFrom="paragraph">
                  <wp:posOffset>228600</wp:posOffset>
                </wp:positionV>
                <wp:extent cx="2647950" cy="297180"/>
                <wp:effectExtent l="0" t="0" r="0" b="0"/>
                <wp:wrapNone/>
                <wp:docPr id="6" name="文本框 15"/>
                <wp:cNvGraphicFramePr/>
                <a:graphic xmlns:a="http://schemas.openxmlformats.org/drawingml/2006/main">
                  <a:graphicData uri="http://schemas.microsoft.com/office/word/2010/wordprocessingShape">
                    <wps:wsp>
                      <wps:cNvSpPr txBox="1"/>
                      <wps:spPr>
                        <a:xfrm>
                          <a:off x="0" y="0"/>
                          <a:ext cx="2647950" cy="297180"/>
                        </a:xfrm>
                        <a:prstGeom prst="rect">
                          <a:avLst/>
                        </a:prstGeom>
                        <a:noFill/>
                        <a:ln w="9525">
                          <a:noFill/>
                        </a:ln>
                        <a:effectLst/>
                      </wps:spPr>
                      <wps:txbx>
                        <w:txbxContent>
                          <w:p w14:paraId="32286888">
                            <w:pPr>
                              <w:rPr>
                                <w:rFonts w:ascii="黑体" w:eastAsia="黑体"/>
                                <w:b/>
                                <w:spacing w:val="-20"/>
                                <w:sz w:val="28"/>
                                <w:szCs w:val="28"/>
                              </w:rPr>
                            </w:pPr>
                            <w:r>
                              <w:rPr>
                                <w:rFonts w:hint="eastAsia" w:ascii="黑体" w:eastAsia="黑体"/>
                                <w:sz w:val="28"/>
                                <w:szCs w:val="28"/>
                              </w:rPr>
                              <w:t>JJF</w:t>
                            </w:r>
                            <w:r>
                              <w:rPr>
                                <w:rFonts w:hint="eastAsia" w:ascii="黑体" w:eastAsia="黑体"/>
                                <w:spacing w:val="-20"/>
                                <w:sz w:val="28"/>
                                <w:szCs w:val="28"/>
                              </w:rPr>
                              <w:t xml:space="preserve"> ××××-××</w:t>
                            </w:r>
                            <w:r>
                              <w:rPr>
                                <w:rFonts w:hint="eastAsia" w:ascii="黑体" w:eastAsia="黑体"/>
                                <w:b/>
                                <w:spacing w:val="-20"/>
                                <w:sz w:val="28"/>
                                <w:szCs w:val="28"/>
                              </w:rPr>
                              <w:t>××</w:t>
                            </w:r>
                          </w:p>
                        </w:txbxContent>
                      </wps:txbx>
                      <wps:bodyPr wrap="square" upright="1"/>
                    </wps:wsp>
                  </a:graphicData>
                </a:graphic>
              </wp:anchor>
            </w:drawing>
          </mc:Choice>
          <mc:Fallback>
            <w:pict>
              <v:shape id="文本框 15" o:spid="_x0000_s1026" o:spt="202" type="#_x0000_t202" style="position:absolute;left:0pt;margin-left:291.15pt;margin-top:18pt;height:23.4pt;width:208.5pt;z-index:251662336;mso-width-relative:page;mso-height-relative:page;" filled="f" stroked="f" coordsize="21600,21600" o:gfxdata="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LaMdNcAAAAJAQAADwAAAAAAAAABACAAAAAiAAAAZHJzL2Rvd25y&#10;ZXYueG1sUEsBAhQAFAAAAAgAh07iQFHE7nLGAQAAdAMAAA4AAAAAAAAAAQAgAAAAJgEAAGRycy9l&#10;Mm9Eb2MueG1sUEsFBgAAAAAGAAYAWQEAAF4FAAAAAA==&#10;">
                <v:fill on="f" focussize="0,0"/>
                <v:stroke on="f"/>
                <v:imagedata o:title=""/>
                <o:lock v:ext="edit" aspectratio="f"/>
                <v:textbox>
                  <w:txbxContent>
                    <w:p w14:paraId="32286888">
                      <w:pPr>
                        <w:rPr>
                          <w:rFonts w:ascii="黑体" w:eastAsia="黑体"/>
                          <w:b/>
                          <w:spacing w:val="-20"/>
                          <w:sz w:val="28"/>
                          <w:szCs w:val="28"/>
                        </w:rPr>
                      </w:pPr>
                      <w:r>
                        <w:rPr>
                          <w:rFonts w:hint="eastAsia" w:ascii="黑体" w:eastAsia="黑体"/>
                          <w:sz w:val="28"/>
                          <w:szCs w:val="28"/>
                        </w:rPr>
                        <w:t>JJF</w:t>
                      </w:r>
                      <w:r>
                        <w:rPr>
                          <w:rFonts w:hint="eastAsia" w:ascii="黑体" w:eastAsia="黑体"/>
                          <w:spacing w:val="-20"/>
                          <w:sz w:val="28"/>
                          <w:szCs w:val="28"/>
                        </w:rPr>
                        <w:t xml:space="preserve"> ××××-××</w:t>
                      </w:r>
                      <w:r>
                        <w:rPr>
                          <w:rFonts w:hint="eastAsia" w:ascii="黑体" w:eastAsia="黑体"/>
                          <w:b/>
                          <w:spacing w:val="-20"/>
                          <w:sz w:val="28"/>
                          <w:szCs w:val="28"/>
                        </w:rPr>
                        <w:t>××</w:t>
                      </w:r>
                    </w:p>
                  </w:txbxContent>
                </v:textbox>
              </v:shape>
            </w:pict>
          </mc:Fallback>
        </mc:AlternateContent>
      </w:r>
      <w:r>
        <w:rPr>
          <w:rFonts w:ascii="黑体" w:hAnsi="黑体" w:eastAsia="黑体"/>
          <w:bCs/>
          <w:color w:val="000000" w:themeColor="text1"/>
          <w:sz w:val="44"/>
          <w:szCs w:val="4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3735705</wp:posOffset>
                </wp:positionH>
                <wp:positionV relativeFrom="paragraph">
                  <wp:posOffset>57150</wp:posOffset>
                </wp:positionV>
                <wp:extent cx="1879600" cy="635000"/>
                <wp:effectExtent l="19050" t="19050" r="25400" b="12700"/>
                <wp:wrapNone/>
                <wp:docPr id="4" name="自选图形 12"/>
                <wp:cNvGraphicFramePr/>
                <a:graphic xmlns:a="http://schemas.openxmlformats.org/drawingml/2006/main">
                  <a:graphicData uri="http://schemas.microsoft.com/office/word/2010/wordprocessingShape">
                    <wps:wsp>
                      <wps:cNvSpPr/>
                      <wps:spPr>
                        <a:xfrm>
                          <a:off x="0" y="0"/>
                          <a:ext cx="1879600" cy="635000"/>
                        </a:xfrm>
                        <a:prstGeom prst="roundRect">
                          <a:avLst>
                            <a:gd name="adj" fmla="val 16667"/>
                          </a:avLst>
                        </a:prstGeom>
                        <a:solidFill>
                          <a:srgbClr val="FFFFFF"/>
                        </a:solidFill>
                        <a:ln w="38100" cap="flat" cmpd="dbl">
                          <a:solidFill>
                            <a:srgbClr val="000000"/>
                          </a:solidFill>
                          <a:prstDash val="dash"/>
                          <a:headEnd type="none" w="med" len="med"/>
                          <a:tailEnd type="none" w="med" len="med"/>
                        </a:ln>
                        <a:effectLst/>
                      </wps:spPr>
                      <wps:bodyPr upright="1"/>
                    </wps:wsp>
                  </a:graphicData>
                </a:graphic>
              </wp:anchor>
            </w:drawing>
          </mc:Choice>
          <mc:Fallback>
            <w:pict>
              <v:roundrect id="自选图形 12" o:spid="_x0000_s1026" o:spt="2" style="position:absolute;left:0pt;margin-left:294.15pt;margin-top:4.5pt;height:50pt;width:148pt;z-index:251661312;mso-width-relative:page;mso-height-relative:page;" fillcolor="#FFFFFF" filled="t" stroked="t" coordsize="21600,21600" arcsize="0.166666666666667" o:gfxdata="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Jn&#10;qArWAAAACQEAAA8AAAAAAAAAAQAgAAAAIgAAAGRycy9kb3ducmV2LnhtbFBLAQIUABQAAAAIAIdO&#10;4kD240VIJQIAAFoEAAAOAAAAAAAAAAEAIAAAACUBAABkcnMvZTJvRG9jLnhtbFBLBQYAAAAABgAG&#10;AFkBAAC8BQAAAAA=&#10;">
                <v:fill on="t" focussize="0,0"/>
                <v:stroke weight="3pt" color="#000000" linestyle="thinThin" joinstyle="round" dashstyle="dash"/>
                <v:imagedata o:title=""/>
                <o:lock v:ext="edit" aspectratio="f"/>
              </v:roundrect>
            </w:pict>
          </mc:Fallback>
        </mc:AlternateContent>
      </w:r>
      <w:r>
        <w:rPr>
          <w:rFonts w:hint="eastAsia" w:ascii="黑体" w:hAnsi="黑体" w:eastAsia="黑体"/>
          <w:bCs/>
          <w:color w:val="000000" w:themeColor="text1"/>
          <w:sz w:val="44"/>
          <w:szCs w:val="44"/>
          <w14:textFill>
            <w14:solidFill>
              <w14:schemeClr w14:val="tx1"/>
            </w14:solidFill>
          </w14:textFill>
        </w:rPr>
        <w:t>氧化石墨烯浆料测量评价技术规范</w:t>
      </w:r>
    </w:p>
    <w:p w14:paraId="303EDE29">
      <w:pPr>
        <w:autoSpaceDE w:val="0"/>
        <w:autoSpaceDN w:val="0"/>
        <w:adjustRightInd w:val="0"/>
        <w:spacing w:line="276" w:lineRule="auto"/>
        <w:rPr>
          <w:rFonts w:hint="eastAsia"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Technical</w:t>
      </w:r>
      <w:r>
        <w:rPr>
          <w:rFonts w:hint="eastAsia" w:ascii="黑体" w:hAnsi="黑体" w:eastAsia="黑体"/>
          <w:color w:val="000000" w:themeColor="text1"/>
          <w:sz w:val="28"/>
          <w:szCs w:val="28"/>
          <w14:textFill>
            <w14:solidFill>
              <w14:schemeClr w14:val="tx1"/>
            </w14:solidFill>
          </w14:textFill>
        </w:rPr>
        <w:t xml:space="preserve"> Specification for Measuring and evaluating the properties of</w:t>
      </w:r>
      <w:r>
        <w:rPr>
          <w:rFonts w:ascii="黑体" w:hAnsi="黑体" w:eastAsia="黑体"/>
          <w:color w:val="000000" w:themeColor="text1"/>
          <w:sz w:val="28"/>
          <w:szCs w:val="28"/>
          <w14:textFill>
            <w14:solidFill>
              <w14:schemeClr w14:val="tx1"/>
            </w14:solidFill>
          </w14:textFill>
        </w:rPr>
        <w:t xml:space="preserve"> </w:t>
      </w:r>
      <w:r>
        <w:rPr>
          <w:rFonts w:hint="eastAsia" w:ascii="黑体" w:hAnsi="黑体" w:eastAsia="黑体"/>
          <w:color w:val="000000" w:themeColor="text1"/>
          <w:sz w:val="28"/>
          <w:szCs w:val="28"/>
          <w14:textFill>
            <w14:solidFill>
              <w14:schemeClr w14:val="tx1"/>
            </w14:solidFill>
          </w14:textFill>
        </w:rPr>
        <w:t>G</w:t>
      </w:r>
      <w:r>
        <w:rPr>
          <w:rFonts w:ascii="黑体" w:hAnsi="黑体" w:eastAsia="黑体"/>
          <w:color w:val="000000" w:themeColor="text1"/>
          <w:sz w:val="28"/>
          <w:szCs w:val="28"/>
          <w14:textFill>
            <w14:solidFill>
              <w14:schemeClr w14:val="tx1"/>
            </w14:solidFill>
          </w14:textFill>
        </w:rPr>
        <w:t xml:space="preserve">raphene </w:t>
      </w:r>
      <w:r>
        <w:rPr>
          <w:rFonts w:hint="eastAsia" w:ascii="黑体" w:hAnsi="黑体" w:eastAsia="黑体"/>
          <w:color w:val="000000" w:themeColor="text1"/>
          <w:sz w:val="28"/>
          <w:szCs w:val="28"/>
          <w14:textFill>
            <w14:solidFill>
              <w14:schemeClr w14:val="tx1"/>
            </w14:solidFill>
          </w14:textFill>
        </w:rPr>
        <w:t xml:space="preserve">Oxide suspension </w:t>
      </w:r>
    </w:p>
    <w:p w14:paraId="76DD8D47">
      <w:pPr>
        <w:autoSpaceDE w:val="0"/>
        <w:autoSpaceDN w:val="0"/>
        <w:adjustRightInd w:val="0"/>
        <w:spacing w:line="276" w:lineRule="auto"/>
        <w:rPr>
          <w:rFonts w:hint="eastAsia" w:ascii="宋体" w:hAnsi="宋体" w:cs="宋体"/>
          <w:sz w:val="28"/>
          <w:szCs w:val="28"/>
          <w:u w:val="single"/>
        </w:rPr>
      </w:pPr>
      <w:r>
        <w:rPr>
          <w:rFonts w:ascii="宋体" w:hAnsi="宋体" w:cs="宋体"/>
          <w:sz w:val="28"/>
          <w:szCs w:val="28"/>
          <w:u w:val="single"/>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20955</wp:posOffset>
                </wp:positionV>
                <wp:extent cx="4914900" cy="0"/>
                <wp:effectExtent l="0" t="0" r="0" b="0"/>
                <wp:wrapNone/>
                <wp:docPr id="1" name="直线 7"/>
                <wp:cNvGraphicFramePr/>
                <a:graphic xmlns:a="http://schemas.openxmlformats.org/drawingml/2006/main">
                  <a:graphicData uri="http://schemas.microsoft.com/office/word/2010/wordprocessingShape">
                    <wps:wsp>
                      <wps:cNvCnPr/>
                      <wps:spPr>
                        <a:xfrm>
                          <a:off x="0" y="0"/>
                          <a:ext cx="49149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margin-left:18pt;margin-top:1.65pt;height:0pt;width:387pt;z-index:251659264;mso-width-relative:page;mso-height-relative:page;" filled="f" stroked="t" coordsize="21600,21600" o:gfxdata="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IzH9NMAAAAGAQAA&#10;DwAAAAAAAAABACAAAAAiAAAAZHJzL2Rvd25yZXYueG1sUEsBAhQAFAAAAAgAh07iQLCVMqTlAQAA&#10;3QMAAA4AAAAAAAAAAQAgAAAAIgEAAGRycy9lMm9Eb2MueG1sUEsFBgAAAAAGAAYAWQEAAHkFAAAA&#10;AA==&#10;">
                <v:fill on="f" focussize="0,0"/>
                <v:stroke color="#000000" joinstyle="round"/>
                <v:imagedata o:title=""/>
                <o:lock v:ext="edit" aspectratio="f"/>
              </v:line>
            </w:pict>
          </mc:Fallback>
        </mc:AlternateContent>
      </w:r>
    </w:p>
    <w:p w14:paraId="2C81DA73">
      <w:pPr>
        <w:autoSpaceDE w:val="0"/>
        <w:autoSpaceDN w:val="0"/>
        <w:adjustRightInd w:val="0"/>
        <w:ind w:firstLine="560" w:firstLineChars="200"/>
        <w:rPr>
          <w:rFonts w:hint="eastAsia" w:ascii="宋体" w:hAnsi="宋体" w:cs="宋体"/>
          <w:sz w:val="28"/>
          <w:szCs w:val="28"/>
        </w:rPr>
      </w:pPr>
    </w:p>
    <w:p w14:paraId="0CA638C9">
      <w:pPr>
        <w:autoSpaceDE w:val="0"/>
        <w:autoSpaceDN w:val="0"/>
        <w:adjustRightInd w:val="0"/>
        <w:ind w:firstLine="560" w:firstLineChars="200"/>
        <w:rPr>
          <w:rFonts w:hint="eastAsia" w:ascii="宋体" w:hAnsi="宋体" w:cs="宋体"/>
          <w:sz w:val="28"/>
          <w:szCs w:val="28"/>
        </w:rPr>
      </w:pPr>
    </w:p>
    <w:p w14:paraId="5F940989">
      <w:pPr>
        <w:autoSpaceDE w:val="0"/>
        <w:autoSpaceDN w:val="0"/>
        <w:adjustRightInd w:val="0"/>
        <w:ind w:left="560" w:hanging="560"/>
        <w:rPr>
          <w:rFonts w:hint="eastAsia" w:ascii="宋体" w:hAnsi="宋体" w:cs="宋体"/>
          <w:sz w:val="28"/>
          <w:szCs w:val="28"/>
        </w:rPr>
      </w:pPr>
    </w:p>
    <w:p w14:paraId="4D3EC5A1">
      <w:pPr>
        <w:autoSpaceDE w:val="0"/>
        <w:autoSpaceDN w:val="0"/>
        <w:adjustRightInd w:val="0"/>
        <w:ind w:left="560" w:hanging="560"/>
        <w:rPr>
          <w:rFonts w:hint="eastAsia" w:ascii="宋体" w:hAnsi="宋体" w:cs="宋体"/>
          <w:sz w:val="28"/>
          <w:szCs w:val="28"/>
        </w:rPr>
      </w:pPr>
    </w:p>
    <w:p w14:paraId="7C308ACD">
      <w:pPr>
        <w:autoSpaceDE w:val="0"/>
        <w:autoSpaceDN w:val="0"/>
        <w:adjustRightInd w:val="0"/>
        <w:ind w:left="560" w:hanging="560"/>
        <w:rPr>
          <w:rFonts w:hint="eastAsia" w:ascii="宋体" w:hAnsi="宋体" w:cs="宋体"/>
          <w:sz w:val="28"/>
          <w:szCs w:val="28"/>
        </w:rPr>
      </w:pPr>
    </w:p>
    <w:p w14:paraId="6D49C817">
      <w:pPr>
        <w:autoSpaceDE w:val="0"/>
        <w:autoSpaceDN w:val="0"/>
        <w:adjustRightInd w:val="0"/>
        <w:ind w:left="560" w:hanging="560"/>
        <w:rPr>
          <w:rFonts w:hint="eastAsia" w:ascii="宋体" w:hAnsi="宋体" w:cs="宋体"/>
          <w:sz w:val="28"/>
          <w:szCs w:val="28"/>
        </w:rPr>
      </w:pPr>
    </w:p>
    <w:p w14:paraId="428E10AB">
      <w:pPr>
        <w:autoSpaceDE w:val="0"/>
        <w:autoSpaceDN w:val="0"/>
        <w:adjustRightInd w:val="0"/>
        <w:spacing w:line="360" w:lineRule="auto"/>
        <w:ind w:left="559" w:firstLine="1120"/>
        <w:rPr>
          <w:rFonts w:hint="eastAsia" w:ascii="黑体" w:hAnsi="黑体" w:eastAsia="黑体"/>
          <w:color w:val="000000" w:themeColor="text1"/>
          <w:sz w:val="28"/>
          <w14:textFill>
            <w14:solidFill>
              <w14:schemeClr w14:val="tx1"/>
            </w14:solidFill>
          </w14:textFill>
        </w:rPr>
      </w:pPr>
      <w:r>
        <w:rPr>
          <w:rFonts w:hint="eastAsia" w:ascii="黑体" w:hAnsi="黑体" w:eastAsia="黑体"/>
          <w:color w:val="000000" w:themeColor="text1"/>
          <w:sz w:val="28"/>
          <w14:textFill>
            <w14:solidFill>
              <w14:schemeClr w14:val="tx1"/>
            </w14:solidFill>
          </w14:textFill>
        </w:rPr>
        <w:t xml:space="preserve">归口单位： </w:t>
      </w:r>
      <w:r>
        <w:rPr>
          <w:rFonts w:hint="eastAsia" w:ascii="宋体" w:hAnsi="宋体"/>
          <w:color w:val="000000" w:themeColor="text1"/>
          <w:sz w:val="28"/>
          <w14:textFill>
            <w14:solidFill>
              <w14:schemeClr w14:val="tx1"/>
            </w14:solidFill>
          </w14:textFill>
        </w:rPr>
        <w:t>全国新材料与纳米计量技术委员会</w:t>
      </w:r>
    </w:p>
    <w:p w14:paraId="5F2242C4">
      <w:pPr>
        <w:autoSpaceDE w:val="0"/>
        <w:autoSpaceDN w:val="0"/>
        <w:adjustRightInd w:val="0"/>
        <w:spacing w:line="360" w:lineRule="auto"/>
        <w:ind w:left="559" w:firstLine="1120"/>
        <w:rPr>
          <w:rFonts w:hint="eastAsia" w:ascii="黑体" w:hAnsi="黑体" w:eastAsia="黑体"/>
          <w:color w:val="000000" w:themeColor="text1"/>
          <w:sz w:val="28"/>
          <w14:textFill>
            <w14:solidFill>
              <w14:schemeClr w14:val="tx1"/>
            </w14:solidFill>
          </w14:textFill>
        </w:rPr>
      </w:pPr>
      <w:r>
        <w:rPr>
          <w:rFonts w:hint="eastAsia" w:ascii="黑体" w:hAnsi="黑体" w:eastAsia="黑体"/>
          <w:color w:val="000000" w:themeColor="text1"/>
          <w:sz w:val="28"/>
          <w14:textFill>
            <w14:solidFill>
              <w14:schemeClr w14:val="tx1"/>
            </w14:solidFill>
          </w14:textFill>
        </w:rPr>
        <w:t>主要起草单位：</w:t>
      </w:r>
    </w:p>
    <w:p w14:paraId="40684074">
      <w:pPr>
        <w:autoSpaceDE w:val="0"/>
        <w:autoSpaceDN w:val="0"/>
        <w:adjustRightInd w:val="0"/>
        <w:spacing w:line="360" w:lineRule="auto"/>
        <w:ind w:left="3780" w:leftChars="800" w:hanging="2100"/>
        <w:rPr>
          <w:rFonts w:hint="eastAsia" w:ascii="黑体" w:hAnsi="黑体" w:eastAsia="黑体"/>
          <w:color w:val="000000" w:themeColor="text1"/>
          <w:sz w:val="28"/>
          <w14:textFill>
            <w14:solidFill>
              <w14:schemeClr w14:val="tx1"/>
            </w14:solidFill>
          </w14:textFill>
        </w:rPr>
      </w:pPr>
      <w:r>
        <w:rPr>
          <w:rFonts w:hint="eastAsia" w:ascii="黑体" w:hAnsi="黑体" w:eastAsia="黑体"/>
          <w:color w:val="000000" w:themeColor="text1"/>
          <w:sz w:val="28"/>
          <w14:textFill>
            <w14:solidFill>
              <w14:schemeClr w14:val="tx1"/>
            </w14:solidFill>
          </w14:textFill>
        </w:rPr>
        <w:t xml:space="preserve">              </w:t>
      </w:r>
    </w:p>
    <w:p w14:paraId="4614F98E">
      <w:pPr>
        <w:autoSpaceDE w:val="0"/>
        <w:autoSpaceDN w:val="0"/>
        <w:adjustRightInd w:val="0"/>
        <w:spacing w:line="360" w:lineRule="auto"/>
        <w:ind w:left="559" w:firstLine="1120"/>
        <w:rPr>
          <w:rFonts w:hint="eastAsia" w:ascii="黑体" w:hAnsi="黑体" w:eastAsia="黑体"/>
          <w:color w:val="000000" w:themeColor="text1"/>
          <w:sz w:val="28"/>
          <w14:textFill>
            <w14:solidFill>
              <w14:schemeClr w14:val="tx1"/>
            </w14:solidFill>
          </w14:textFill>
        </w:rPr>
      </w:pPr>
      <w:r>
        <w:rPr>
          <w:rFonts w:hint="eastAsia" w:ascii="黑体" w:hAnsi="黑体" w:eastAsia="黑体"/>
          <w:color w:val="000000" w:themeColor="text1"/>
          <w:sz w:val="28"/>
          <w14:textFill>
            <w14:solidFill>
              <w14:schemeClr w14:val="tx1"/>
            </w14:solidFill>
          </w14:textFill>
        </w:rPr>
        <w:t>参与起草单位：</w:t>
      </w:r>
    </w:p>
    <w:p w14:paraId="7A7D8784">
      <w:pPr>
        <w:autoSpaceDE w:val="0"/>
        <w:autoSpaceDN w:val="0"/>
        <w:adjustRightInd w:val="0"/>
        <w:spacing w:line="360" w:lineRule="auto"/>
        <w:ind w:left="4474" w:leftChars="800" w:hanging="2794" w:hangingChars="998"/>
        <w:rPr>
          <w:rFonts w:hint="eastAsia" w:ascii="黑体" w:hAnsi="黑体" w:eastAsia="黑体"/>
          <w:color w:val="000000" w:themeColor="text1"/>
          <w:sz w:val="28"/>
          <w14:textFill>
            <w14:solidFill>
              <w14:schemeClr w14:val="tx1"/>
            </w14:solidFill>
          </w14:textFill>
        </w:rPr>
      </w:pPr>
    </w:p>
    <w:p w14:paraId="3CC4C9F1">
      <w:pPr>
        <w:autoSpaceDE w:val="0"/>
        <w:autoSpaceDN w:val="0"/>
        <w:adjustRightInd w:val="0"/>
        <w:spacing w:line="360" w:lineRule="auto"/>
        <w:ind w:left="3780" w:leftChars="800" w:hanging="2100"/>
        <w:rPr>
          <w:rFonts w:hint="eastAsia" w:ascii="宋体" w:hAnsi="宋体" w:cs="宋体"/>
          <w:sz w:val="28"/>
          <w:szCs w:val="28"/>
        </w:rPr>
      </w:pPr>
    </w:p>
    <w:p w14:paraId="6483E71C">
      <w:pPr>
        <w:autoSpaceDE w:val="0"/>
        <w:autoSpaceDN w:val="0"/>
        <w:adjustRightInd w:val="0"/>
        <w:spacing w:line="360" w:lineRule="auto"/>
        <w:ind w:left="559" w:firstLine="1120"/>
        <w:rPr>
          <w:rFonts w:hint="eastAsia" w:ascii="宋体" w:hAnsi="宋体" w:cs="宋体"/>
          <w:sz w:val="28"/>
          <w:szCs w:val="28"/>
        </w:rPr>
      </w:pPr>
    </w:p>
    <w:p w14:paraId="3345FEBB">
      <w:pPr>
        <w:autoSpaceDE w:val="0"/>
        <w:autoSpaceDN w:val="0"/>
        <w:adjustRightInd w:val="0"/>
        <w:spacing w:line="360" w:lineRule="auto"/>
        <w:ind w:left="559" w:firstLine="1120"/>
        <w:rPr>
          <w:rFonts w:hint="eastAsia" w:ascii="宋体" w:hAnsi="宋体" w:cs="宋体"/>
          <w:sz w:val="28"/>
          <w:szCs w:val="28"/>
        </w:rPr>
      </w:pPr>
    </w:p>
    <w:p w14:paraId="1F4A1272">
      <w:pPr>
        <w:autoSpaceDE w:val="0"/>
        <w:autoSpaceDN w:val="0"/>
        <w:adjustRightInd w:val="0"/>
        <w:ind w:left="559" w:firstLine="1120"/>
        <w:rPr>
          <w:rFonts w:hint="eastAsia" w:ascii="宋体" w:hAnsi="宋体" w:cs="宋体"/>
          <w:sz w:val="28"/>
          <w:szCs w:val="28"/>
        </w:rPr>
      </w:pPr>
    </w:p>
    <w:p w14:paraId="77B24FF7">
      <w:pPr>
        <w:autoSpaceDE w:val="0"/>
        <w:autoSpaceDN w:val="0"/>
        <w:adjustRightInd w:val="0"/>
        <w:ind w:left="559" w:firstLine="1120"/>
        <w:rPr>
          <w:rFonts w:hint="eastAsia" w:ascii="宋体" w:hAnsi="宋体" w:cs="宋体"/>
          <w:sz w:val="28"/>
          <w:szCs w:val="28"/>
        </w:rPr>
      </w:pPr>
    </w:p>
    <w:p w14:paraId="0EB2AB8C">
      <w:pPr>
        <w:autoSpaceDE w:val="0"/>
        <w:autoSpaceDN w:val="0"/>
        <w:adjustRightInd w:val="0"/>
        <w:ind w:left="559" w:firstLine="1120"/>
        <w:rPr>
          <w:rFonts w:hint="eastAsia" w:ascii="宋体" w:hAnsi="宋体" w:cs="宋体"/>
          <w:sz w:val="28"/>
          <w:szCs w:val="28"/>
        </w:rPr>
      </w:pPr>
    </w:p>
    <w:p w14:paraId="776BD43A">
      <w:pPr>
        <w:autoSpaceDE w:val="0"/>
        <w:autoSpaceDN w:val="0"/>
        <w:adjustRightInd w:val="0"/>
        <w:ind w:left="559" w:firstLine="1120"/>
        <w:rPr>
          <w:rFonts w:hint="eastAsia" w:ascii="宋体" w:hAnsi="宋体" w:cs="宋体"/>
          <w:sz w:val="28"/>
          <w:szCs w:val="28"/>
        </w:rPr>
      </w:pPr>
    </w:p>
    <w:p w14:paraId="7EB9A203">
      <w:pPr>
        <w:autoSpaceDE w:val="0"/>
        <w:autoSpaceDN w:val="0"/>
        <w:adjustRightInd w:val="0"/>
        <w:ind w:left="559" w:firstLine="1120"/>
        <w:rPr>
          <w:rFonts w:hint="eastAsia" w:ascii="宋体" w:hAnsi="宋体" w:cs="宋体"/>
          <w:sz w:val="28"/>
          <w:szCs w:val="28"/>
        </w:rPr>
      </w:pPr>
    </w:p>
    <w:p w14:paraId="3289517D">
      <w:pPr>
        <w:autoSpaceDE w:val="0"/>
        <w:autoSpaceDN w:val="0"/>
        <w:adjustRightInd w:val="0"/>
        <w:ind w:left="559" w:firstLine="1120"/>
        <w:rPr>
          <w:rFonts w:hint="eastAsia" w:ascii="宋体" w:hAnsi="宋体" w:cs="宋体"/>
          <w:sz w:val="28"/>
          <w:szCs w:val="28"/>
        </w:rPr>
      </w:pPr>
    </w:p>
    <w:p w14:paraId="590800C0">
      <w:pPr>
        <w:autoSpaceDE w:val="0"/>
        <w:autoSpaceDN w:val="0"/>
        <w:adjustRightInd w:val="0"/>
        <w:spacing w:line="360" w:lineRule="auto"/>
        <w:ind w:firstLine="560"/>
        <w:rPr>
          <w:rFonts w:hint="eastAsia" w:ascii="宋体" w:hAnsi="宋体" w:cs="宋体"/>
          <w:sz w:val="28"/>
          <w:szCs w:val="28"/>
          <w:u w:val="single"/>
        </w:rPr>
      </w:pPr>
      <w:r>
        <w:rPr>
          <w:rFonts w:hint="eastAsia" w:ascii="宋体" w:hAnsi="宋体" w:cs="宋体"/>
          <w:sz w:val="28"/>
          <w:szCs w:val="28"/>
          <w:lang w:val="zh-CN"/>
        </w:rPr>
        <w:t>本规范委托全国</w:t>
      </w:r>
      <w:r>
        <w:rPr>
          <w:rFonts w:hint="eastAsia" w:ascii="宋体" w:hAnsi="宋体" w:cs="宋体"/>
          <w:sz w:val="28"/>
          <w:szCs w:val="28"/>
        </w:rPr>
        <w:t>新材料与纳米</w:t>
      </w:r>
      <w:r>
        <w:rPr>
          <w:rFonts w:hint="eastAsia" w:ascii="宋体" w:hAnsi="宋体" w:cs="宋体"/>
          <w:sz w:val="28"/>
          <w:szCs w:val="28"/>
          <w:lang w:val="zh-CN"/>
        </w:rPr>
        <w:t>计量技术委员会负责解释</w:t>
      </w:r>
    </w:p>
    <w:p w14:paraId="1159E3F5">
      <w:pPr>
        <w:autoSpaceDE w:val="0"/>
        <w:autoSpaceDN w:val="0"/>
        <w:adjustRightInd w:val="0"/>
        <w:spacing w:line="360" w:lineRule="auto"/>
        <w:rPr>
          <w:rFonts w:hint="eastAsia" w:ascii="宋体" w:hAnsi="宋体" w:cs="宋体"/>
          <w:sz w:val="28"/>
          <w:szCs w:val="28"/>
          <w:lang w:val="zh-CN"/>
        </w:rPr>
        <w:sectPr>
          <w:headerReference r:id="rId5" w:type="first"/>
          <w:footerReference r:id="rId7" w:type="first"/>
          <w:footerReference r:id="rId6" w:type="default"/>
          <w:pgSz w:w="12240" w:h="15840"/>
          <w:pgMar w:top="1440" w:right="1797" w:bottom="1440" w:left="1797" w:header="720" w:footer="720" w:gutter="0"/>
          <w:pgNumType w:start="1"/>
          <w:cols w:space="720" w:num="1"/>
          <w:titlePg/>
        </w:sectPr>
      </w:pPr>
    </w:p>
    <w:p w14:paraId="408AF4F6">
      <w:pPr>
        <w:autoSpaceDE w:val="0"/>
        <w:autoSpaceDN w:val="0"/>
        <w:adjustRightInd w:val="0"/>
        <w:spacing w:line="360" w:lineRule="auto"/>
        <w:ind w:firstLine="420"/>
        <w:rPr>
          <w:rFonts w:hint="eastAsia" w:ascii="宋体" w:hAnsi="宋体" w:cs="宋体"/>
          <w:sz w:val="28"/>
          <w:szCs w:val="28"/>
          <w:lang w:val="zh-CN"/>
        </w:rPr>
      </w:pPr>
    </w:p>
    <w:p w14:paraId="2DE45BBB">
      <w:pPr>
        <w:autoSpaceDE w:val="0"/>
        <w:autoSpaceDN w:val="0"/>
        <w:adjustRightInd w:val="0"/>
        <w:spacing w:line="360" w:lineRule="auto"/>
        <w:ind w:firstLine="420"/>
        <w:rPr>
          <w:rFonts w:hint="eastAsia" w:ascii="黑体" w:hAnsi="黑体" w:eastAsia="黑体"/>
          <w:color w:val="000000" w:themeColor="text1"/>
          <w:sz w:val="28"/>
          <w14:textFill>
            <w14:solidFill>
              <w14:schemeClr w14:val="tx1"/>
            </w14:solidFill>
          </w14:textFill>
        </w:rPr>
      </w:pPr>
      <w:r>
        <w:rPr>
          <w:rFonts w:hint="eastAsia" w:ascii="黑体" w:hAnsi="黑体" w:eastAsia="黑体"/>
          <w:color w:val="000000" w:themeColor="text1"/>
          <w:sz w:val="28"/>
          <w14:textFill>
            <w14:solidFill>
              <w14:schemeClr w14:val="tx1"/>
            </w14:solidFill>
          </w14:textFill>
        </w:rPr>
        <w:t>本规范主要起草人：</w:t>
      </w:r>
    </w:p>
    <w:p w14:paraId="4E173B65">
      <w:pPr>
        <w:autoSpaceDE w:val="0"/>
        <w:autoSpaceDN w:val="0"/>
        <w:adjustRightInd w:val="0"/>
        <w:spacing w:line="360" w:lineRule="auto"/>
        <w:ind w:left="1260" w:firstLine="420"/>
        <w:rPr>
          <w:rFonts w:hint="eastAsia" w:ascii="宋体" w:hAnsi="宋体"/>
          <w:color w:val="000000" w:themeColor="text1"/>
          <w:sz w:val="28"/>
          <w14:textFill>
            <w14:solidFill>
              <w14:schemeClr w14:val="tx1"/>
            </w14:solidFill>
          </w14:textFill>
        </w:rPr>
      </w:pPr>
    </w:p>
    <w:p w14:paraId="0EEE2FBA">
      <w:pPr>
        <w:autoSpaceDE w:val="0"/>
        <w:autoSpaceDN w:val="0"/>
        <w:adjustRightInd w:val="0"/>
        <w:spacing w:line="360" w:lineRule="auto"/>
        <w:ind w:left="560" w:firstLine="700"/>
        <w:rPr>
          <w:rFonts w:hint="eastAsia" w:ascii="黑体" w:hAnsi="黑体" w:eastAsia="黑体"/>
          <w:color w:val="000000" w:themeColor="text1"/>
          <w:sz w:val="28"/>
          <w14:textFill>
            <w14:solidFill>
              <w14:schemeClr w14:val="tx1"/>
            </w14:solidFill>
          </w14:textFill>
        </w:rPr>
      </w:pPr>
      <w:r>
        <w:rPr>
          <w:rFonts w:hint="eastAsia" w:ascii="黑体" w:hAnsi="黑体" w:eastAsia="黑体"/>
          <w:color w:val="000000" w:themeColor="text1"/>
          <w:sz w:val="28"/>
          <w14:textFill>
            <w14:solidFill>
              <w14:schemeClr w14:val="tx1"/>
            </w14:solidFill>
          </w14:textFill>
        </w:rPr>
        <w:t xml:space="preserve">参加起草人： </w:t>
      </w:r>
    </w:p>
    <w:p w14:paraId="7C73CE2F">
      <w:pPr>
        <w:autoSpaceDE w:val="0"/>
        <w:autoSpaceDN w:val="0"/>
        <w:adjustRightInd w:val="0"/>
        <w:spacing w:line="360" w:lineRule="auto"/>
        <w:ind w:left="1260" w:firstLine="420"/>
        <w:rPr>
          <w:rFonts w:hint="eastAsia" w:ascii="宋体" w:hAnsi="宋体"/>
          <w:color w:val="000000" w:themeColor="text1"/>
          <w:sz w:val="28"/>
          <w14:textFill>
            <w14:solidFill>
              <w14:schemeClr w14:val="tx1"/>
            </w14:solidFill>
          </w14:textFill>
        </w:rPr>
      </w:pPr>
      <w:bookmarkStart w:id="54" w:name="_GoBack"/>
      <w:bookmarkEnd w:id="54"/>
    </w:p>
    <w:p w14:paraId="42942157">
      <w:pPr>
        <w:autoSpaceDE w:val="0"/>
        <w:autoSpaceDN w:val="0"/>
        <w:adjustRightInd w:val="0"/>
        <w:spacing w:line="360" w:lineRule="auto"/>
        <w:rPr>
          <w:rFonts w:hint="eastAsia" w:ascii="宋体" w:hAnsi="宋体" w:cs="宋体"/>
          <w:sz w:val="32"/>
          <w:szCs w:val="32"/>
          <w:lang w:val="zh-CN"/>
        </w:rPr>
        <w:sectPr>
          <w:footerReference r:id="rId9" w:type="first"/>
          <w:footerReference r:id="rId8" w:type="default"/>
          <w:pgSz w:w="12240" w:h="15840"/>
          <w:pgMar w:top="1440" w:right="1797" w:bottom="1440" w:left="1797" w:header="720" w:footer="720" w:gutter="0"/>
          <w:cols w:space="720" w:num="1"/>
          <w:titlePg/>
        </w:sectPr>
      </w:pPr>
      <w:r>
        <w:rPr>
          <w:rFonts w:hint="eastAsia" w:ascii="宋体" w:hAnsi="宋体" w:cs="宋体"/>
          <w:sz w:val="28"/>
          <w:szCs w:val="28"/>
          <w:lang w:val="zh-CN"/>
        </w:rPr>
        <w:tab/>
      </w:r>
      <w:r>
        <w:rPr>
          <w:rFonts w:hint="eastAsia" w:ascii="宋体" w:hAnsi="宋体" w:cs="宋体"/>
          <w:sz w:val="28"/>
          <w:szCs w:val="28"/>
          <w:lang w:val="zh-CN"/>
        </w:rPr>
        <w:tab/>
      </w:r>
    </w:p>
    <w:p w14:paraId="47CFECE2">
      <w:pPr>
        <w:autoSpaceDE w:val="0"/>
        <w:autoSpaceDN w:val="0"/>
        <w:adjustRightInd w:val="0"/>
        <w:spacing w:line="360" w:lineRule="auto"/>
        <w:jc w:val="center"/>
        <w:rPr>
          <w:rFonts w:hint="eastAsia" w:ascii="宋体" w:hAnsi="宋体" w:cs="宋体"/>
          <w:sz w:val="36"/>
          <w:szCs w:val="36"/>
          <w:lang w:val="zh-CN"/>
        </w:rPr>
      </w:pPr>
      <w:r>
        <w:rPr>
          <w:rFonts w:hint="eastAsia" w:ascii="宋体" w:hAnsi="宋体" w:cs="宋体"/>
          <w:sz w:val="36"/>
          <w:szCs w:val="36"/>
          <w:lang w:val="zh-CN"/>
        </w:rPr>
        <w:t>目   录</w:t>
      </w:r>
    </w:p>
    <w:p w14:paraId="0EBF719F">
      <w:pPr>
        <w:autoSpaceDE w:val="0"/>
        <w:autoSpaceDN w:val="0"/>
        <w:adjustRightInd w:val="0"/>
        <w:spacing w:line="360" w:lineRule="auto"/>
        <w:jc w:val="center"/>
        <w:rPr>
          <w:rFonts w:hint="eastAsia" w:ascii="宋体" w:hAnsi="宋体" w:cs="宋体"/>
          <w:b/>
          <w:sz w:val="24"/>
          <w:lang w:val="zh-CN"/>
        </w:rPr>
      </w:pPr>
    </w:p>
    <w:p w14:paraId="1C1EA979">
      <w:pPr>
        <w:pStyle w:val="14"/>
        <w:rPr>
          <w:rFonts w:asciiTheme="minorHAnsi" w:hAnsiTheme="minorHAnsi" w:eastAsiaTheme="minorEastAsia" w:cstheme="minorBidi"/>
          <w:sz w:val="22"/>
          <w14:ligatures w14:val="standardContextual"/>
        </w:rPr>
      </w:pPr>
      <w:r>
        <w:rPr>
          <w:rFonts w:hint="eastAsia" w:ascii="宋体" w:hAnsi="宋体" w:cs="宋体"/>
          <w:sz w:val="24"/>
          <w:lang w:val="zh-CN"/>
        </w:rPr>
        <w:fldChar w:fldCharType="begin"/>
      </w:r>
      <w:r>
        <w:rPr>
          <w:rFonts w:hint="eastAsia" w:ascii="宋体" w:hAnsi="宋体" w:cs="宋体"/>
          <w:sz w:val="24"/>
          <w:lang w:val="zh-CN"/>
        </w:rPr>
        <w:instrText xml:space="preserve"> TOC \o "1-3" \h \z \u </w:instrText>
      </w:r>
      <w:r>
        <w:rPr>
          <w:rFonts w:hint="eastAsia" w:ascii="宋体" w:hAnsi="宋体" w:cs="宋体"/>
          <w:sz w:val="24"/>
          <w:lang w:val="zh-CN"/>
        </w:rPr>
        <w:fldChar w:fldCharType="separate"/>
      </w:r>
      <w:r>
        <w:fldChar w:fldCharType="begin"/>
      </w:r>
      <w:r>
        <w:instrText xml:space="preserve"> HYPERLINK \l "_Toc196929253" </w:instrText>
      </w:r>
      <w:r>
        <w:fldChar w:fldCharType="separate"/>
      </w:r>
      <w:r>
        <w:rPr>
          <w:rStyle w:val="24"/>
          <w:rFonts w:hint="eastAsia" w:eastAsia="黑体"/>
        </w:rPr>
        <w:t>引言</w:t>
      </w:r>
      <w:r>
        <w:rPr>
          <w:rFonts w:hint="eastAsia"/>
        </w:rPr>
        <w:tab/>
      </w:r>
      <w:r>
        <w:rPr>
          <w:rFonts w:hint="eastAsia"/>
        </w:rPr>
        <w:fldChar w:fldCharType="begin"/>
      </w:r>
      <w:r>
        <w:rPr>
          <w:rFonts w:hint="eastAsia"/>
        </w:rPr>
        <w:instrText xml:space="preserve"> </w:instrText>
      </w:r>
      <w:r>
        <w:instrText xml:space="preserve">PAGEREF _Toc196929253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5F58552E">
      <w:pPr>
        <w:pStyle w:val="14"/>
        <w:rPr>
          <w:rFonts w:asciiTheme="minorHAnsi" w:hAnsiTheme="minorHAnsi" w:eastAsiaTheme="minorEastAsia" w:cstheme="minorBidi"/>
          <w:sz w:val="22"/>
          <w14:ligatures w14:val="standardContextual"/>
        </w:rPr>
      </w:pPr>
      <w:r>
        <w:fldChar w:fldCharType="begin"/>
      </w:r>
      <w:r>
        <w:instrText xml:space="preserve"> HYPERLINK \l "_Toc196929254" </w:instrText>
      </w:r>
      <w:r>
        <w:fldChar w:fldCharType="separate"/>
      </w:r>
      <w:r>
        <w:rPr>
          <w:rStyle w:val="24"/>
          <w:rFonts w:hint="eastAsia" w:ascii="黑体" w:hAnsi="黑体" w:eastAsia="黑体"/>
        </w:rPr>
        <w:t>1 范围</w:t>
      </w:r>
      <w:r>
        <w:rPr>
          <w:rFonts w:hint="eastAsia"/>
        </w:rPr>
        <w:tab/>
      </w:r>
      <w:r>
        <w:rPr>
          <w:rFonts w:hint="eastAsia"/>
        </w:rPr>
        <w:fldChar w:fldCharType="begin"/>
      </w:r>
      <w:r>
        <w:rPr>
          <w:rFonts w:hint="eastAsia"/>
        </w:rPr>
        <w:instrText xml:space="preserve"> </w:instrText>
      </w:r>
      <w:r>
        <w:instrText xml:space="preserve">PAGEREF _Toc196929254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AC8B7D3">
      <w:pPr>
        <w:pStyle w:val="14"/>
        <w:rPr>
          <w:rFonts w:asciiTheme="minorHAnsi" w:hAnsiTheme="minorHAnsi" w:eastAsiaTheme="minorEastAsia" w:cstheme="minorBidi"/>
          <w:sz w:val="22"/>
          <w14:ligatures w14:val="standardContextual"/>
        </w:rPr>
      </w:pPr>
      <w:r>
        <w:fldChar w:fldCharType="begin"/>
      </w:r>
      <w:r>
        <w:instrText xml:space="preserve"> HYPERLINK \l "_Toc196929255" </w:instrText>
      </w:r>
      <w:r>
        <w:fldChar w:fldCharType="separate"/>
      </w:r>
      <w:r>
        <w:rPr>
          <w:rStyle w:val="24"/>
          <w:rFonts w:hint="eastAsia" w:ascii="黑体" w:hAnsi="黑体" w:eastAsia="黑体"/>
        </w:rPr>
        <w:t>2 引用文件</w:t>
      </w:r>
      <w:r>
        <w:rPr>
          <w:rFonts w:hint="eastAsia"/>
        </w:rPr>
        <w:tab/>
      </w:r>
      <w:r>
        <w:rPr>
          <w:rFonts w:hint="eastAsia"/>
        </w:rPr>
        <w:fldChar w:fldCharType="begin"/>
      </w:r>
      <w:r>
        <w:rPr>
          <w:rFonts w:hint="eastAsia"/>
        </w:rPr>
        <w:instrText xml:space="preserve"> </w:instrText>
      </w:r>
      <w:r>
        <w:instrText xml:space="preserve">PAGEREF _Toc196929255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1410BFE">
      <w:pPr>
        <w:pStyle w:val="14"/>
        <w:rPr>
          <w:rFonts w:asciiTheme="minorHAnsi" w:hAnsiTheme="minorHAnsi" w:eastAsiaTheme="minorEastAsia" w:cstheme="minorBidi"/>
          <w:sz w:val="22"/>
          <w14:ligatures w14:val="standardContextual"/>
        </w:rPr>
      </w:pPr>
      <w:r>
        <w:fldChar w:fldCharType="begin"/>
      </w:r>
      <w:r>
        <w:instrText xml:space="preserve"> HYPERLINK \l "_Toc196929256" </w:instrText>
      </w:r>
      <w:r>
        <w:fldChar w:fldCharType="separate"/>
      </w:r>
      <w:r>
        <w:rPr>
          <w:rStyle w:val="24"/>
          <w:rFonts w:hint="eastAsia" w:ascii="黑体" w:hAnsi="黑体" w:eastAsia="黑体"/>
        </w:rPr>
        <w:t>3 术语和定义</w:t>
      </w:r>
      <w:r>
        <w:rPr>
          <w:rFonts w:hint="eastAsia"/>
        </w:rPr>
        <w:tab/>
      </w:r>
      <w:r>
        <w:rPr>
          <w:rFonts w:hint="eastAsia"/>
        </w:rPr>
        <w:fldChar w:fldCharType="begin"/>
      </w:r>
      <w:r>
        <w:rPr>
          <w:rFonts w:hint="eastAsia"/>
        </w:rPr>
        <w:instrText xml:space="preserve"> </w:instrText>
      </w:r>
      <w:r>
        <w:instrText xml:space="preserve">PAGEREF _Toc196929256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775F029">
      <w:pPr>
        <w:pStyle w:val="14"/>
        <w:rPr>
          <w:rFonts w:asciiTheme="minorHAnsi" w:hAnsiTheme="minorHAnsi" w:eastAsiaTheme="minorEastAsia" w:cstheme="minorBidi"/>
          <w:sz w:val="22"/>
          <w14:ligatures w14:val="standardContextual"/>
        </w:rPr>
      </w:pPr>
      <w:r>
        <w:fldChar w:fldCharType="begin"/>
      </w:r>
      <w:r>
        <w:instrText xml:space="preserve"> HYPERLINK \l "_Toc196929257" </w:instrText>
      </w:r>
      <w:r>
        <w:fldChar w:fldCharType="separate"/>
      </w:r>
      <w:r>
        <w:rPr>
          <w:rStyle w:val="24"/>
          <w:rFonts w:hint="eastAsia" w:ascii="黑体" w:hAnsi="黑体" w:eastAsia="黑体"/>
        </w:rPr>
        <w:t>4概述</w:t>
      </w:r>
      <w:r>
        <w:rPr>
          <w:rFonts w:hint="eastAsia"/>
        </w:rPr>
        <w:tab/>
      </w:r>
      <w:r>
        <w:rPr>
          <w:rFonts w:hint="eastAsia"/>
        </w:rPr>
        <w:fldChar w:fldCharType="begin"/>
      </w:r>
      <w:r>
        <w:rPr>
          <w:rFonts w:hint="eastAsia"/>
        </w:rPr>
        <w:instrText xml:space="preserve"> </w:instrText>
      </w:r>
      <w:r>
        <w:instrText xml:space="preserve">PAGEREF _Toc196929257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28B030D">
      <w:pPr>
        <w:pStyle w:val="14"/>
        <w:rPr>
          <w:rFonts w:asciiTheme="minorHAnsi" w:hAnsiTheme="minorHAnsi" w:eastAsiaTheme="minorEastAsia" w:cstheme="minorBidi"/>
          <w:sz w:val="22"/>
          <w14:ligatures w14:val="standardContextual"/>
        </w:rPr>
      </w:pPr>
      <w:r>
        <w:fldChar w:fldCharType="begin"/>
      </w:r>
      <w:r>
        <w:instrText xml:space="preserve"> HYPERLINK \l "_Toc196929258" </w:instrText>
      </w:r>
      <w:r>
        <w:fldChar w:fldCharType="separate"/>
      </w:r>
      <w:r>
        <w:rPr>
          <w:rStyle w:val="24"/>
          <w:rFonts w:hint="eastAsia" w:ascii="黑体" w:hAnsi="黑体" w:eastAsia="黑体"/>
        </w:rPr>
        <w:t>5技术要求</w:t>
      </w:r>
      <w:r>
        <w:rPr>
          <w:rFonts w:hint="eastAsia"/>
        </w:rPr>
        <w:tab/>
      </w:r>
      <w:r>
        <w:rPr>
          <w:rFonts w:hint="eastAsia"/>
        </w:rPr>
        <w:fldChar w:fldCharType="begin"/>
      </w:r>
      <w:r>
        <w:rPr>
          <w:rFonts w:hint="eastAsia"/>
        </w:rPr>
        <w:instrText xml:space="preserve"> </w:instrText>
      </w:r>
      <w:r>
        <w:instrText xml:space="preserve">PAGEREF _Toc196929258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A00DF5E">
      <w:pPr>
        <w:pStyle w:val="14"/>
        <w:rPr>
          <w:rFonts w:asciiTheme="minorHAnsi" w:hAnsiTheme="minorHAnsi" w:eastAsiaTheme="minorEastAsia" w:cstheme="minorBidi"/>
          <w:sz w:val="22"/>
          <w14:ligatures w14:val="standardContextual"/>
        </w:rPr>
      </w:pPr>
      <w:r>
        <w:fldChar w:fldCharType="begin"/>
      </w:r>
      <w:r>
        <w:instrText xml:space="preserve"> HYPERLINK \l "_Toc196929259" </w:instrText>
      </w:r>
      <w:r>
        <w:fldChar w:fldCharType="separate"/>
      </w:r>
      <w:r>
        <w:rPr>
          <w:rStyle w:val="24"/>
          <w:rFonts w:hint="eastAsia" w:ascii="黑体" w:hAnsi="黑体" w:eastAsia="黑体"/>
        </w:rPr>
        <w:t>6 测量条件和标准物质</w:t>
      </w:r>
      <w:r>
        <w:rPr>
          <w:rFonts w:hint="eastAsia"/>
        </w:rPr>
        <w:tab/>
      </w:r>
      <w:r>
        <w:rPr>
          <w:rFonts w:hint="eastAsia"/>
        </w:rPr>
        <w:fldChar w:fldCharType="begin"/>
      </w:r>
      <w:r>
        <w:rPr>
          <w:rFonts w:hint="eastAsia"/>
        </w:rPr>
        <w:instrText xml:space="preserve"> </w:instrText>
      </w:r>
      <w:r>
        <w:instrText xml:space="preserve">PAGEREF _Toc196929259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E85E43B">
      <w:pPr>
        <w:pStyle w:val="14"/>
        <w:rPr>
          <w:rFonts w:asciiTheme="minorHAnsi" w:hAnsiTheme="minorHAnsi" w:eastAsiaTheme="minorEastAsia" w:cstheme="minorBidi"/>
          <w:sz w:val="22"/>
          <w14:ligatures w14:val="standardContextual"/>
        </w:rPr>
      </w:pPr>
      <w:r>
        <w:fldChar w:fldCharType="begin"/>
      </w:r>
      <w:r>
        <w:instrText xml:space="preserve"> HYPERLINK \l "_Toc196929260" </w:instrText>
      </w:r>
      <w:r>
        <w:fldChar w:fldCharType="separate"/>
      </w:r>
      <w:r>
        <w:rPr>
          <w:rStyle w:val="24"/>
          <w:rFonts w:hint="eastAsia" w:ascii="黑体" w:hAnsi="黑体" w:eastAsia="黑体"/>
        </w:rPr>
        <w:t>7 测量项目和测量方法</w:t>
      </w:r>
      <w:r>
        <w:rPr>
          <w:rFonts w:hint="eastAsia"/>
        </w:rPr>
        <w:tab/>
      </w:r>
      <w:r>
        <w:rPr>
          <w:rFonts w:hint="eastAsia"/>
        </w:rPr>
        <w:fldChar w:fldCharType="begin"/>
      </w:r>
      <w:r>
        <w:rPr>
          <w:rFonts w:hint="eastAsia"/>
        </w:rPr>
        <w:instrText xml:space="preserve"> </w:instrText>
      </w:r>
      <w:r>
        <w:instrText xml:space="preserve">PAGEREF _Toc196929260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1915F10">
      <w:pPr>
        <w:pStyle w:val="14"/>
        <w:rPr>
          <w:rFonts w:asciiTheme="minorHAnsi" w:hAnsiTheme="minorHAnsi" w:eastAsiaTheme="minorEastAsia" w:cstheme="minorBidi"/>
          <w:sz w:val="22"/>
          <w14:ligatures w14:val="standardContextual"/>
        </w:rPr>
      </w:pPr>
      <w:r>
        <w:fldChar w:fldCharType="begin"/>
      </w:r>
      <w:r>
        <w:instrText xml:space="preserve"> HYPERLINK \l "_Toc196929261" </w:instrText>
      </w:r>
      <w:r>
        <w:fldChar w:fldCharType="separate"/>
      </w:r>
      <w:r>
        <w:rPr>
          <w:rStyle w:val="24"/>
          <w:rFonts w:hint="eastAsia" w:ascii="黑体" w:hAnsi="黑体" w:eastAsia="黑体"/>
        </w:rPr>
        <w:t>8 测量结果表达</w:t>
      </w:r>
      <w:r>
        <w:rPr>
          <w:rFonts w:hint="eastAsia"/>
        </w:rPr>
        <w:tab/>
      </w:r>
      <w:r>
        <w:rPr>
          <w:rFonts w:hint="eastAsia"/>
        </w:rPr>
        <w:fldChar w:fldCharType="begin"/>
      </w:r>
      <w:r>
        <w:rPr>
          <w:rFonts w:hint="eastAsia"/>
        </w:rPr>
        <w:instrText xml:space="preserve"> </w:instrText>
      </w:r>
      <w:r>
        <w:instrText xml:space="preserve">PAGEREF _Toc196929261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0F8A210">
      <w:pPr>
        <w:pStyle w:val="14"/>
        <w:rPr>
          <w:rFonts w:asciiTheme="minorHAnsi" w:hAnsiTheme="minorHAnsi" w:eastAsiaTheme="minorEastAsia" w:cstheme="minorBidi"/>
          <w:sz w:val="22"/>
          <w14:ligatures w14:val="standardContextual"/>
        </w:rPr>
      </w:pPr>
      <w:r>
        <w:fldChar w:fldCharType="begin"/>
      </w:r>
      <w:r>
        <w:instrText xml:space="preserve"> HYPERLINK \l "_Toc196929262" </w:instrText>
      </w:r>
      <w:r>
        <w:fldChar w:fldCharType="separate"/>
      </w:r>
      <w:r>
        <w:rPr>
          <w:rStyle w:val="24"/>
          <w:rFonts w:hint="eastAsia" w:ascii="宋体" w:hAnsi="宋体" w:cs="宋体"/>
        </w:rPr>
        <w:t>附录</w:t>
      </w:r>
      <w:r>
        <w:rPr>
          <w:rStyle w:val="24"/>
          <w:rFonts w:hint="eastAsia" w:ascii="宋体" w:hAnsi="宋体" w:cs="宋体"/>
          <w:b/>
          <w:bCs/>
        </w:rPr>
        <w:t>A</w:t>
      </w:r>
      <w:r>
        <w:rPr>
          <w:rFonts w:hint="eastAsia"/>
        </w:rPr>
        <w:tab/>
      </w:r>
      <w:r>
        <w:rPr>
          <w:rFonts w:hint="eastAsia"/>
        </w:rPr>
        <w:fldChar w:fldCharType="begin"/>
      </w:r>
      <w:r>
        <w:rPr>
          <w:rFonts w:hint="eastAsia"/>
        </w:rPr>
        <w:instrText xml:space="preserve"> </w:instrText>
      </w:r>
      <w:r>
        <w:instrText xml:space="preserve">PAGEREF _Toc196929262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2D6DEA99">
      <w:pPr>
        <w:pStyle w:val="14"/>
        <w:rPr>
          <w:rFonts w:asciiTheme="minorHAnsi" w:hAnsiTheme="minorHAnsi" w:eastAsiaTheme="minorEastAsia" w:cstheme="minorBidi"/>
          <w:sz w:val="22"/>
          <w14:ligatures w14:val="standardContextual"/>
        </w:rPr>
      </w:pPr>
      <w:r>
        <w:fldChar w:fldCharType="begin"/>
      </w:r>
      <w:r>
        <w:instrText xml:space="preserve"> HYPERLINK \l "_Toc196929263" </w:instrText>
      </w:r>
      <w:r>
        <w:fldChar w:fldCharType="separate"/>
      </w:r>
      <w:r>
        <w:rPr>
          <w:rStyle w:val="24"/>
          <w:rFonts w:hint="eastAsia" w:ascii="黑体" w:hAnsi="黑体"/>
        </w:rPr>
        <w:t>附录B</w:t>
      </w:r>
      <w:r>
        <w:rPr>
          <w:rFonts w:hint="eastAsia"/>
        </w:rPr>
        <w:tab/>
      </w:r>
      <w:r>
        <w:rPr>
          <w:rFonts w:hint="eastAsia"/>
        </w:rPr>
        <w:fldChar w:fldCharType="begin"/>
      </w:r>
      <w:r>
        <w:rPr>
          <w:rFonts w:hint="eastAsia"/>
        </w:rPr>
        <w:instrText xml:space="preserve"> </w:instrText>
      </w:r>
      <w:r>
        <w:instrText xml:space="preserve">PAGEREF _Toc196929263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6CCDBE8E">
      <w:pPr>
        <w:pStyle w:val="14"/>
        <w:rPr>
          <w:rFonts w:asciiTheme="minorHAnsi" w:hAnsiTheme="minorHAnsi" w:eastAsiaTheme="minorEastAsia" w:cstheme="minorBidi"/>
          <w:sz w:val="22"/>
          <w14:ligatures w14:val="standardContextual"/>
        </w:rPr>
      </w:pPr>
      <w:r>
        <w:fldChar w:fldCharType="begin"/>
      </w:r>
      <w:r>
        <w:instrText xml:space="preserve"> HYPERLINK \l "_Toc196929264" </w:instrText>
      </w:r>
      <w:r>
        <w:fldChar w:fldCharType="separate"/>
      </w:r>
      <w:r>
        <w:rPr>
          <w:rStyle w:val="24"/>
          <w:rFonts w:hint="eastAsia" w:ascii="黑体" w:hAnsi="黑体"/>
        </w:rPr>
        <w:t>附录C</w:t>
      </w:r>
      <w:r>
        <w:rPr>
          <w:rFonts w:hint="eastAsia"/>
        </w:rPr>
        <w:tab/>
      </w:r>
      <w:r>
        <w:rPr>
          <w:rFonts w:hint="eastAsia"/>
        </w:rPr>
        <w:fldChar w:fldCharType="begin"/>
      </w:r>
      <w:r>
        <w:rPr>
          <w:rFonts w:hint="eastAsia"/>
        </w:rPr>
        <w:instrText xml:space="preserve"> </w:instrText>
      </w:r>
      <w:r>
        <w:instrText xml:space="preserve">PAGEREF _Toc196929264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164C1CA">
      <w:pPr>
        <w:autoSpaceDE w:val="0"/>
        <w:autoSpaceDN w:val="0"/>
        <w:adjustRightInd w:val="0"/>
        <w:spacing w:line="360" w:lineRule="auto"/>
        <w:jc w:val="left"/>
        <w:rPr>
          <w:rFonts w:hint="eastAsia" w:ascii="宋体" w:hAnsi="宋体" w:cs="宋体"/>
          <w:sz w:val="28"/>
          <w:szCs w:val="28"/>
          <w:lang w:val="zh-CN"/>
        </w:rPr>
        <w:sectPr>
          <w:footerReference r:id="rId11" w:type="first"/>
          <w:footerReference r:id="rId10" w:type="default"/>
          <w:pgSz w:w="12240" w:h="15840"/>
          <w:pgMar w:top="1440" w:right="1800" w:bottom="1440" w:left="1800" w:header="720" w:footer="720" w:gutter="0"/>
          <w:pgNumType w:fmt="upperRoman" w:start="1"/>
          <w:cols w:space="720" w:num="1"/>
          <w:titlePg/>
        </w:sectPr>
      </w:pPr>
      <w:r>
        <w:rPr>
          <w:rFonts w:hint="eastAsia" w:ascii="宋体" w:hAnsi="宋体" w:cs="宋体"/>
          <w:lang w:val="zh-CN"/>
        </w:rPr>
        <w:fldChar w:fldCharType="end"/>
      </w:r>
    </w:p>
    <w:p w14:paraId="616B0EF7">
      <w:pPr>
        <w:pStyle w:val="2"/>
        <w:spacing w:before="0" w:after="0" w:line="480" w:lineRule="auto"/>
        <w:jc w:val="center"/>
        <w:rPr>
          <w:rFonts w:eastAsia="黑体"/>
          <w:b w:val="0"/>
          <w:bCs w:val="0"/>
          <w:color w:val="000000" w:themeColor="text1"/>
          <w:sz w:val="36"/>
          <w:szCs w:val="36"/>
          <w14:textFill>
            <w14:solidFill>
              <w14:schemeClr w14:val="tx1"/>
            </w14:solidFill>
          </w14:textFill>
        </w:rPr>
      </w:pPr>
      <w:bookmarkStart w:id="1" w:name="_Toc4914"/>
      <w:bookmarkStart w:id="2" w:name="_Toc16563"/>
      <w:bookmarkStart w:id="3" w:name="_Toc196929253"/>
      <w:bookmarkStart w:id="4" w:name="_Toc2570"/>
      <w:r>
        <w:rPr>
          <w:rFonts w:hint="eastAsia" w:eastAsia="黑体"/>
          <w:b w:val="0"/>
          <w:bCs w:val="0"/>
          <w:color w:val="000000" w:themeColor="text1"/>
          <w:sz w:val="36"/>
          <w:szCs w:val="36"/>
          <w14:textFill>
            <w14:solidFill>
              <w14:schemeClr w14:val="tx1"/>
            </w14:solidFill>
          </w14:textFill>
        </w:rPr>
        <w:t>引  言</w:t>
      </w:r>
      <w:bookmarkEnd w:id="1"/>
      <w:bookmarkEnd w:id="2"/>
      <w:bookmarkEnd w:id="3"/>
      <w:bookmarkEnd w:id="4"/>
    </w:p>
    <w:p w14:paraId="6329F67D">
      <w:pPr>
        <w:snapToGrid w:val="0"/>
        <w:spacing w:line="360" w:lineRule="auto"/>
        <w:ind w:firstLine="470" w:firstLineChars="196"/>
        <w:rPr>
          <w:color w:val="000000" w:themeColor="text1"/>
          <w:sz w:val="24"/>
          <w14:textFill>
            <w14:solidFill>
              <w14:schemeClr w14:val="tx1"/>
            </w14:solidFill>
          </w14:textFill>
        </w:rPr>
      </w:pPr>
      <w:r>
        <w:rPr>
          <w:color w:val="000000" w:themeColor="text1"/>
          <w:sz w:val="24"/>
          <w14:textFill>
            <w14:solidFill>
              <w14:schemeClr w14:val="tx1"/>
            </w14:solidFill>
          </w14:textFill>
        </w:rPr>
        <w:t>JJF1071</w:t>
      </w:r>
      <w:r>
        <w:rPr>
          <w:rFonts w:hAnsi="宋体"/>
          <w:color w:val="000000" w:themeColor="text1"/>
          <w:sz w:val="24"/>
          <w14:textFill>
            <w14:solidFill>
              <w14:schemeClr w14:val="tx1"/>
            </w14:solidFill>
          </w14:textFill>
        </w:rPr>
        <w:t>《国家计量校准规范编写规则》</w:t>
      </w:r>
      <w:r>
        <w:rPr>
          <w:color w:val="000000" w:themeColor="text1"/>
          <w:sz w:val="24"/>
          <w14:textFill>
            <w14:solidFill>
              <w14:schemeClr w14:val="tx1"/>
            </w14:solidFill>
          </w14:textFill>
        </w:rPr>
        <w:t>、JJF1001《通用计量术语及定义》</w:t>
      </w:r>
      <w:r>
        <w:rPr>
          <w:rFonts w:hint="eastAsia"/>
          <w:color w:val="000000" w:themeColor="text1"/>
          <w:sz w:val="24"/>
          <w14:textFill>
            <w14:solidFill>
              <w14:schemeClr w14:val="tx1"/>
            </w14:solidFill>
          </w14:textFill>
        </w:rPr>
        <w:t>、</w:t>
      </w:r>
      <w:r>
        <w:rPr>
          <w:rFonts w:hint="eastAsia"/>
          <w:sz w:val="24"/>
        </w:rPr>
        <w:t>JJF1059《测量不确定度评定与表示》共同</w:t>
      </w:r>
      <w:r>
        <w:rPr>
          <w:sz w:val="24"/>
        </w:rPr>
        <w:t>构成本</w:t>
      </w:r>
      <w:r>
        <w:rPr>
          <w:rFonts w:hint="eastAsia"/>
          <w:color w:val="000000" w:themeColor="text1"/>
          <w:sz w:val="24"/>
          <w14:textFill>
            <w14:solidFill>
              <w14:schemeClr w14:val="tx1"/>
            </w14:solidFill>
          </w14:textFill>
        </w:rPr>
        <w:t>规范制修订工作的</w:t>
      </w:r>
      <w:r>
        <w:rPr>
          <w:color w:val="000000" w:themeColor="text1"/>
          <w:sz w:val="24"/>
          <w14:textFill>
            <w14:solidFill>
              <w14:schemeClr w14:val="tx1"/>
            </w14:solidFill>
          </w14:textFill>
        </w:rPr>
        <w:t>基础性</w:t>
      </w:r>
      <w:r>
        <w:rPr>
          <w:rFonts w:hint="eastAsia"/>
          <w:color w:val="000000" w:themeColor="text1"/>
          <w:sz w:val="24"/>
          <w14:textFill>
            <w14:solidFill>
              <w14:schemeClr w14:val="tx1"/>
            </w14:solidFill>
          </w14:textFill>
        </w:rPr>
        <w:t>系列</w:t>
      </w:r>
      <w:r>
        <w:rPr>
          <w:color w:val="000000" w:themeColor="text1"/>
          <w:sz w:val="24"/>
          <w14:textFill>
            <w14:solidFill>
              <w14:schemeClr w14:val="tx1"/>
            </w14:solidFill>
          </w14:textFill>
        </w:rPr>
        <w:t>规范。</w:t>
      </w:r>
    </w:p>
    <w:p w14:paraId="5009DFE5">
      <w:pPr>
        <w:spacing w:before="120" w:beforeLines="50" w:line="360" w:lineRule="auto"/>
        <w:ind w:firstLine="480" w:firstLineChars="200"/>
        <w:jc w:val="left"/>
        <w:rPr>
          <w:rFonts w:hint="eastAsia" w:hAnsi="宋体"/>
          <w:color w:val="000000" w:themeColor="text1"/>
          <w:sz w:val="24"/>
          <w14:textFill>
            <w14:solidFill>
              <w14:schemeClr w14:val="tx1"/>
            </w14:solidFill>
          </w14:textFill>
        </w:rPr>
      </w:pPr>
      <w:bookmarkStart w:id="5" w:name="_Hlk197519555"/>
      <w:r>
        <w:rPr>
          <w:rFonts w:hint="eastAsia" w:hAnsi="宋体"/>
          <w:color w:val="000000" w:themeColor="text1"/>
          <w:sz w:val="24"/>
          <w14:textFill>
            <w14:solidFill>
              <w14:schemeClr w14:val="tx1"/>
            </w14:solidFill>
          </w14:textFill>
        </w:rPr>
        <w:t>氧化石墨烯浆料作为生产导电浆料用氧化还原石墨烯粉体和热管理用石墨烯导热散热膜的主要原材料，目前是生产技术最成熟、市场规模应用量最大的石墨烯材料产品类型。对氧化石墨烯浆料的关键特性参数进行测量和技术指标评价，不仅有助于氧化石墨烯及其生产企业的品控，更将为下游用户选择适宜氧化石墨烯浆料产品提供有价值的参考，降低选择成本、提高生产效率。</w:t>
      </w:r>
    </w:p>
    <w:bookmarkEnd w:id="5"/>
    <w:p w14:paraId="6454B648">
      <w:pPr>
        <w:tabs>
          <w:tab w:val="left" w:pos="540"/>
        </w:tabs>
        <w:autoSpaceDE w:val="0"/>
        <w:autoSpaceDN w:val="0"/>
        <w:adjustRightInd w:val="0"/>
        <w:spacing w:before="120" w:beforeLines="50" w:line="360" w:lineRule="auto"/>
        <w:ind w:firstLine="480" w:firstLineChars="200"/>
        <w:rPr>
          <w:rFonts w:hint="eastAsia"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本规范为首次发布。</w:t>
      </w:r>
    </w:p>
    <w:p w14:paraId="20E1DC86">
      <w:pPr>
        <w:tabs>
          <w:tab w:val="left" w:pos="540"/>
        </w:tabs>
        <w:autoSpaceDE w:val="0"/>
        <w:autoSpaceDN w:val="0"/>
        <w:adjustRightInd w:val="0"/>
        <w:spacing w:line="360" w:lineRule="auto"/>
        <w:ind w:firstLine="480" w:firstLineChars="200"/>
        <w:rPr>
          <w:rFonts w:hint="eastAsia" w:ascii="宋体" w:hAnsi="宋体" w:cs="宋体"/>
          <w:sz w:val="24"/>
        </w:rPr>
      </w:pPr>
    </w:p>
    <w:p w14:paraId="7FAAE0D2">
      <w:pPr>
        <w:autoSpaceDE w:val="0"/>
        <w:autoSpaceDN w:val="0"/>
        <w:adjustRightInd w:val="0"/>
        <w:spacing w:line="480" w:lineRule="auto"/>
        <w:jc w:val="center"/>
        <w:rPr>
          <w:rFonts w:hint="eastAsia" w:ascii="宋体" w:hAnsi="宋体" w:cs="宋体"/>
          <w:b/>
          <w:sz w:val="32"/>
          <w:szCs w:val="32"/>
        </w:rPr>
        <w:sectPr>
          <w:footerReference r:id="rId12" w:type="default"/>
          <w:pgSz w:w="12240" w:h="15840"/>
          <w:pgMar w:top="1440" w:right="1800" w:bottom="1440" w:left="1800" w:header="720" w:footer="720" w:gutter="0"/>
          <w:pgNumType w:fmt="upperRoman"/>
          <w:cols w:space="720" w:num="1"/>
        </w:sectPr>
      </w:pPr>
    </w:p>
    <w:p w14:paraId="597FE71A">
      <w:pPr>
        <w:autoSpaceDE w:val="0"/>
        <w:autoSpaceDN w:val="0"/>
        <w:adjustRightInd w:val="0"/>
        <w:spacing w:line="480" w:lineRule="auto"/>
        <w:jc w:val="center"/>
        <w:rPr>
          <w:rFonts w:ascii="黑体" w:eastAsia="黑体"/>
          <w:color w:val="000000" w:themeColor="text1"/>
          <w:sz w:val="32"/>
          <w:szCs w:val="32"/>
          <w14:textFill>
            <w14:solidFill>
              <w14:schemeClr w14:val="tx1"/>
            </w14:solidFill>
          </w14:textFill>
        </w:rPr>
      </w:pPr>
      <w:bookmarkStart w:id="6" w:name="_Hlk122624948"/>
      <w:r>
        <w:rPr>
          <w:rFonts w:hint="eastAsia" w:ascii="黑体" w:eastAsia="黑体"/>
          <w:color w:val="000000" w:themeColor="text1"/>
          <w:sz w:val="32"/>
          <w:szCs w:val="32"/>
          <w14:textFill>
            <w14:solidFill>
              <w14:schemeClr w14:val="tx1"/>
            </w14:solidFill>
          </w14:textFill>
        </w:rPr>
        <w:t>氧化石墨烯</w:t>
      </w:r>
      <w:bookmarkEnd w:id="6"/>
      <w:r>
        <w:rPr>
          <w:rFonts w:hint="eastAsia" w:ascii="黑体" w:eastAsia="黑体"/>
          <w:color w:val="000000" w:themeColor="text1"/>
          <w:sz w:val="32"/>
          <w:szCs w:val="32"/>
          <w14:textFill>
            <w14:solidFill>
              <w14:schemeClr w14:val="tx1"/>
            </w14:solidFill>
          </w14:textFill>
        </w:rPr>
        <w:t>浆料测量评价技术规范</w:t>
      </w:r>
    </w:p>
    <w:p w14:paraId="1AD1B261">
      <w:pPr>
        <w:pStyle w:val="2"/>
        <w:spacing w:before="120" w:beforeLines="50" w:after="0" w:line="360" w:lineRule="auto"/>
        <w:rPr>
          <w:rFonts w:hint="eastAsia" w:ascii="黑体" w:hAnsi="黑体" w:eastAsia="黑体"/>
          <w:b w:val="0"/>
          <w:bCs w:val="0"/>
          <w:color w:val="000000" w:themeColor="text1"/>
          <w:sz w:val="24"/>
          <w:szCs w:val="20"/>
          <w14:textFill>
            <w14:solidFill>
              <w14:schemeClr w14:val="tx1"/>
            </w14:solidFill>
          </w14:textFill>
        </w:rPr>
      </w:pPr>
      <w:bookmarkStart w:id="7" w:name="_Toc16234"/>
      <w:bookmarkStart w:id="8" w:name="_Toc196929254"/>
      <w:bookmarkStart w:id="9" w:name="_Toc14534"/>
      <w:bookmarkStart w:id="10" w:name="_Toc31303"/>
      <w:r>
        <w:rPr>
          <w:rFonts w:hint="eastAsia" w:ascii="黑体" w:hAnsi="黑体" w:eastAsia="黑体"/>
          <w:b w:val="0"/>
          <w:bCs w:val="0"/>
          <w:color w:val="000000" w:themeColor="text1"/>
          <w:sz w:val="24"/>
          <w:szCs w:val="20"/>
          <w14:textFill>
            <w14:solidFill>
              <w14:schemeClr w14:val="tx1"/>
            </w14:solidFill>
          </w14:textFill>
        </w:rPr>
        <w:t>1 范围</w:t>
      </w:r>
      <w:bookmarkEnd w:id="7"/>
      <w:bookmarkEnd w:id="8"/>
      <w:bookmarkEnd w:id="9"/>
      <w:bookmarkEnd w:id="10"/>
    </w:p>
    <w:p w14:paraId="79B4F639">
      <w:pPr>
        <w:tabs>
          <w:tab w:val="left" w:pos="540"/>
        </w:tabs>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lang w:val="zh-CN"/>
        </w:rPr>
        <w:t>本规范适用于氧化石墨烯浆料的关键特性参数测量和技术指标评价。</w:t>
      </w:r>
    </w:p>
    <w:p w14:paraId="53AB6D00">
      <w:pPr>
        <w:pStyle w:val="2"/>
        <w:spacing w:before="120" w:beforeLines="50" w:after="0" w:line="360" w:lineRule="auto"/>
        <w:rPr>
          <w:rFonts w:hint="eastAsia" w:ascii="黑体" w:hAnsi="黑体" w:eastAsia="黑体"/>
          <w:b w:val="0"/>
          <w:bCs w:val="0"/>
          <w:color w:val="000000" w:themeColor="text1"/>
          <w:sz w:val="24"/>
          <w:szCs w:val="20"/>
          <w14:textFill>
            <w14:solidFill>
              <w14:schemeClr w14:val="tx1"/>
            </w14:solidFill>
          </w14:textFill>
        </w:rPr>
      </w:pPr>
      <w:bookmarkStart w:id="11" w:name="_Toc27612"/>
      <w:bookmarkStart w:id="12" w:name="_Toc20086"/>
      <w:bookmarkStart w:id="13" w:name="_Toc6981"/>
      <w:bookmarkStart w:id="14" w:name="_Toc196929255"/>
      <w:r>
        <w:rPr>
          <w:rFonts w:hint="eastAsia" w:ascii="黑体" w:hAnsi="黑体" w:eastAsia="黑体"/>
          <w:b w:val="0"/>
          <w:bCs w:val="0"/>
          <w:color w:val="000000" w:themeColor="text1"/>
          <w:sz w:val="24"/>
          <w:szCs w:val="20"/>
          <w14:textFill>
            <w14:solidFill>
              <w14:schemeClr w14:val="tx1"/>
            </w14:solidFill>
          </w14:textFill>
        </w:rPr>
        <w:t>2 引用文件</w:t>
      </w:r>
      <w:bookmarkEnd w:id="11"/>
      <w:bookmarkEnd w:id="12"/>
      <w:bookmarkEnd w:id="13"/>
      <w:bookmarkEnd w:id="14"/>
    </w:p>
    <w:p w14:paraId="109CDB0C">
      <w:pPr>
        <w:tabs>
          <w:tab w:val="left" w:pos="540"/>
        </w:tabs>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本规范引用了下列文件：</w:t>
      </w:r>
    </w:p>
    <w:p w14:paraId="4341C505">
      <w:pPr>
        <w:spacing w:before="120" w:beforeLines="50" w:line="240" w:lineRule="atLeast"/>
        <w:ind w:firstLine="391" w:firstLineChars="163"/>
        <w:jc w:val="left"/>
        <w:rPr>
          <w:rFonts w:hint="eastAsia" w:ascii="宋体" w:hAnsi="宋体" w:cs="宋体"/>
          <w:sz w:val="24"/>
          <w:lang w:val="zh-CN"/>
        </w:rPr>
      </w:pPr>
      <w:bookmarkStart w:id="15" w:name="_Hlk197520373"/>
      <w:r>
        <w:rPr>
          <w:rFonts w:hint="eastAsia" w:ascii="宋体" w:hAnsi="宋体" w:cs="宋体"/>
          <w:sz w:val="24"/>
          <w:lang w:val="zh-CN"/>
        </w:rPr>
        <w:t xml:space="preserve">GB/T 1725   色漆、清漆和塑料 不挥发物含量的测定 </w:t>
      </w:r>
    </w:p>
    <w:p w14:paraId="4D302EB3">
      <w:pPr>
        <w:spacing w:before="120" w:beforeLines="50" w:line="240" w:lineRule="atLeast"/>
        <w:ind w:firstLine="391" w:firstLineChars="163"/>
        <w:jc w:val="left"/>
        <w:rPr>
          <w:rFonts w:hint="eastAsia" w:ascii="宋体" w:hAnsi="宋体" w:cs="宋体"/>
          <w:sz w:val="24"/>
          <w:lang w:val="zh-CN"/>
        </w:rPr>
      </w:pPr>
      <w:r>
        <w:rPr>
          <w:rFonts w:hint="eastAsia" w:ascii="宋体" w:hAnsi="宋体" w:cs="宋体"/>
          <w:sz w:val="24"/>
          <w:lang w:val="zh-CN"/>
        </w:rPr>
        <w:t>GB/T 9724   化学试剂pH值测定通则</w:t>
      </w:r>
    </w:p>
    <w:p w14:paraId="4C7C79B8">
      <w:pPr>
        <w:spacing w:before="120" w:beforeLines="50" w:line="240" w:lineRule="atLeast"/>
        <w:ind w:firstLine="391" w:firstLineChars="163"/>
        <w:jc w:val="left"/>
        <w:rPr>
          <w:rFonts w:hint="eastAsia" w:ascii="宋体" w:hAnsi="宋体" w:cs="宋体"/>
          <w:sz w:val="24"/>
          <w:lang w:val="zh-CN"/>
        </w:rPr>
      </w:pPr>
      <w:r>
        <w:rPr>
          <w:rFonts w:hint="eastAsia" w:ascii="宋体" w:hAnsi="宋体" w:cs="宋体"/>
          <w:sz w:val="24"/>
          <w:lang w:val="zh-CN"/>
        </w:rPr>
        <w:t xml:space="preserve">GB/T 19077  粒度分布 激光衍射法 </w:t>
      </w:r>
    </w:p>
    <w:p w14:paraId="34023BD5">
      <w:pPr>
        <w:spacing w:before="120" w:beforeLines="50" w:line="240" w:lineRule="atLeast"/>
        <w:ind w:firstLine="391" w:firstLineChars="163"/>
        <w:jc w:val="left"/>
        <w:rPr>
          <w:rFonts w:hint="eastAsia" w:ascii="宋体" w:hAnsi="宋体" w:cs="宋体"/>
          <w:sz w:val="24"/>
          <w:lang w:val="zh-CN"/>
        </w:rPr>
      </w:pPr>
      <w:r>
        <w:rPr>
          <w:rFonts w:hint="eastAsia" w:ascii="宋体" w:hAnsi="宋体" w:cs="宋体"/>
          <w:sz w:val="24"/>
          <w:lang w:val="zh-CN"/>
        </w:rPr>
        <w:t>GB/T 22235  液体黏度的测定</w:t>
      </w:r>
    </w:p>
    <w:p w14:paraId="1E08EF7C">
      <w:pPr>
        <w:spacing w:before="120" w:beforeLines="50" w:line="240" w:lineRule="atLeast"/>
        <w:ind w:firstLine="391" w:firstLineChars="163"/>
        <w:jc w:val="left"/>
        <w:rPr>
          <w:rFonts w:hint="eastAsia" w:ascii="宋体" w:hAnsi="宋体" w:cs="宋体"/>
          <w:sz w:val="24"/>
          <w:lang w:val="zh-CN"/>
        </w:rPr>
      </w:pPr>
      <w:r>
        <w:rPr>
          <w:rFonts w:hint="eastAsia" w:ascii="宋体" w:hAnsi="宋体" w:cs="宋体"/>
          <w:sz w:val="24"/>
          <w:lang w:val="zh-CN"/>
        </w:rPr>
        <w:t>GB/T 27760  利用Si（111）晶面原子台阶对原子力显微镜亚纳米高度测量进行校准的方法</w:t>
      </w:r>
    </w:p>
    <w:p w14:paraId="677D9CC3">
      <w:pPr>
        <w:spacing w:before="120" w:beforeLines="50" w:line="240" w:lineRule="atLeast"/>
        <w:ind w:firstLine="391" w:firstLineChars="163"/>
        <w:jc w:val="left"/>
        <w:rPr>
          <w:rFonts w:hint="eastAsia" w:ascii="宋体" w:hAnsi="宋体" w:cs="宋体"/>
          <w:sz w:val="24"/>
          <w:lang w:val="zh-CN"/>
        </w:rPr>
      </w:pPr>
      <w:r>
        <w:rPr>
          <w:rFonts w:hint="eastAsia" w:ascii="宋体" w:hAnsi="宋体" w:cs="宋体"/>
          <w:sz w:val="24"/>
          <w:lang w:val="zh-CN"/>
        </w:rPr>
        <w:t>GB∕T 40066 纳米技术 氧化石墨烯厚度测量 原子力显微镜法</w:t>
      </w:r>
    </w:p>
    <w:p w14:paraId="1DE63CD8">
      <w:pPr>
        <w:spacing w:before="120" w:beforeLines="50" w:line="240" w:lineRule="atLeast"/>
        <w:ind w:firstLine="391" w:firstLineChars="163"/>
        <w:jc w:val="left"/>
        <w:rPr>
          <w:rFonts w:hint="eastAsia" w:ascii="宋体" w:hAnsi="宋体" w:cs="宋体"/>
          <w:sz w:val="24"/>
          <w:lang w:val="zh-CN"/>
        </w:rPr>
      </w:pPr>
      <w:r>
        <w:rPr>
          <w:rFonts w:hint="eastAsia" w:ascii="宋体" w:hAnsi="宋体" w:cs="宋体"/>
          <w:sz w:val="24"/>
          <w:lang w:val="zh-CN"/>
        </w:rPr>
        <w:t xml:space="preserve">GB/T </w:t>
      </w:r>
      <w:r>
        <w:rPr>
          <w:rFonts w:ascii="宋体" w:hAnsi="宋体" w:cs="宋体"/>
          <w:sz w:val="24"/>
          <w:lang w:val="zh-CN"/>
        </w:rPr>
        <w:t>43598</w:t>
      </w:r>
      <w:r>
        <w:rPr>
          <w:rFonts w:hint="eastAsia" w:ascii="宋体" w:hAnsi="宋体" w:cs="宋体"/>
          <w:sz w:val="24"/>
          <w:lang w:val="zh-CN"/>
        </w:rPr>
        <w:t xml:space="preserve"> 纳米技术 石墨烯粉体氧含量和碳氧比的测定 X射线光电子能谱法</w:t>
      </w:r>
    </w:p>
    <w:p w14:paraId="2D844EC9">
      <w:pPr>
        <w:spacing w:before="120" w:beforeLines="50" w:line="240" w:lineRule="atLeast"/>
        <w:ind w:firstLine="391" w:firstLineChars="163"/>
        <w:jc w:val="left"/>
        <w:rPr>
          <w:rFonts w:hint="eastAsia" w:ascii="宋体" w:hAnsi="宋体" w:cs="宋体"/>
          <w:sz w:val="24"/>
          <w:lang w:val="zh-CN"/>
        </w:rPr>
      </w:pPr>
      <w:r>
        <w:rPr>
          <w:rFonts w:hint="eastAsia" w:ascii="宋体" w:hAnsi="宋体" w:cs="宋体"/>
          <w:sz w:val="24"/>
          <w:lang w:val="zh-CN"/>
        </w:rPr>
        <w:t>JJF ××××（待发布实施） 石墨烯粉体材料鉴别计量技术规范</w:t>
      </w:r>
    </w:p>
    <w:bookmarkEnd w:id="15"/>
    <w:p w14:paraId="5EE845C4">
      <w:pPr>
        <w:tabs>
          <w:tab w:val="left" w:pos="540"/>
        </w:tabs>
        <w:autoSpaceDE w:val="0"/>
        <w:autoSpaceDN w:val="0"/>
        <w:adjustRightInd w:val="0"/>
        <w:spacing w:before="240" w:beforeLines="100" w:line="360" w:lineRule="auto"/>
        <w:ind w:firstLine="480" w:firstLineChars="200"/>
        <w:rPr>
          <w:rFonts w:hint="eastAsia" w:ascii="宋体" w:hAnsi="宋体" w:cs="宋体"/>
          <w:sz w:val="24"/>
        </w:rPr>
      </w:pPr>
      <w:r>
        <w:rPr>
          <w:rFonts w:hint="eastAsia" w:ascii="宋体" w:hAnsi="宋体" w:cs="宋体"/>
          <w:sz w:val="24"/>
          <w:lang w:val="zh-CN"/>
        </w:rPr>
        <w:t>凡是注日期的引用文件，仅注日期的版本适用于本规范。</w:t>
      </w:r>
      <w:r>
        <w:rPr>
          <w:rFonts w:ascii="宋体" w:hAnsi="宋体" w:cs="宋体"/>
          <w:sz w:val="24"/>
          <w:lang w:val="zh-CN"/>
        </w:rPr>
        <w:t>凡是不注日期的引用文件,其最新版本(包括所有的修改单)适用于本</w:t>
      </w:r>
      <w:r>
        <w:rPr>
          <w:rFonts w:hint="eastAsia" w:ascii="宋体" w:hAnsi="宋体" w:cs="宋体"/>
          <w:sz w:val="24"/>
          <w:lang w:val="zh-CN"/>
        </w:rPr>
        <w:t>规范。</w:t>
      </w:r>
    </w:p>
    <w:p w14:paraId="2B982606">
      <w:pPr>
        <w:pStyle w:val="2"/>
        <w:spacing w:before="120" w:beforeLines="50" w:after="0" w:line="360" w:lineRule="auto"/>
        <w:rPr>
          <w:rFonts w:hint="eastAsia" w:ascii="黑体" w:hAnsi="黑体" w:eastAsia="黑体"/>
          <w:b w:val="0"/>
          <w:bCs w:val="0"/>
          <w:color w:val="000000" w:themeColor="text1"/>
          <w:sz w:val="24"/>
          <w:szCs w:val="20"/>
          <w14:textFill>
            <w14:solidFill>
              <w14:schemeClr w14:val="tx1"/>
            </w14:solidFill>
          </w14:textFill>
        </w:rPr>
      </w:pPr>
      <w:bookmarkStart w:id="16" w:name="_Toc6256"/>
      <w:bookmarkStart w:id="17" w:name="_Toc24847"/>
      <w:bookmarkStart w:id="18" w:name="_Toc31838"/>
      <w:bookmarkStart w:id="19" w:name="_Toc196929256"/>
      <w:r>
        <w:rPr>
          <w:rFonts w:hint="eastAsia" w:ascii="黑体" w:hAnsi="黑体" w:eastAsia="黑体"/>
          <w:b w:val="0"/>
          <w:bCs w:val="0"/>
          <w:color w:val="000000" w:themeColor="text1"/>
          <w:sz w:val="24"/>
          <w:szCs w:val="20"/>
          <w14:textFill>
            <w14:solidFill>
              <w14:schemeClr w14:val="tx1"/>
            </w14:solidFill>
          </w14:textFill>
        </w:rPr>
        <w:t xml:space="preserve">3 </w:t>
      </w:r>
      <w:bookmarkEnd w:id="16"/>
      <w:bookmarkEnd w:id="17"/>
      <w:bookmarkEnd w:id="18"/>
      <w:r>
        <w:rPr>
          <w:rFonts w:hint="eastAsia" w:ascii="黑体" w:hAnsi="黑体" w:eastAsia="黑体"/>
          <w:b w:val="0"/>
          <w:bCs w:val="0"/>
          <w:color w:val="000000" w:themeColor="text1"/>
          <w:sz w:val="24"/>
          <w:szCs w:val="20"/>
          <w14:textFill>
            <w14:solidFill>
              <w14:schemeClr w14:val="tx1"/>
            </w14:solidFill>
          </w14:textFill>
        </w:rPr>
        <w:t>术语和定义</w:t>
      </w:r>
      <w:bookmarkEnd w:id="19"/>
    </w:p>
    <w:p w14:paraId="75A53C90">
      <w:pPr>
        <w:tabs>
          <w:tab w:val="left" w:pos="540"/>
        </w:tabs>
        <w:autoSpaceDE w:val="0"/>
        <w:autoSpaceDN w:val="0"/>
        <w:adjustRightInd w:val="0"/>
        <w:spacing w:line="360" w:lineRule="auto"/>
        <w:ind w:firstLine="480" w:firstLineChars="200"/>
        <w:rPr>
          <w:sz w:val="24"/>
        </w:rPr>
      </w:pPr>
      <w:r>
        <w:rPr>
          <w:rFonts w:hint="eastAsia"/>
          <w:sz w:val="24"/>
        </w:rPr>
        <w:t>下列术语和定义适用于本文件。</w:t>
      </w:r>
    </w:p>
    <w:p w14:paraId="06F77EBD">
      <w:pPr>
        <w:tabs>
          <w:tab w:val="left" w:pos="540"/>
        </w:tabs>
        <w:autoSpaceDE w:val="0"/>
        <w:autoSpaceDN w:val="0"/>
        <w:adjustRightInd w:val="0"/>
        <w:spacing w:line="360" w:lineRule="auto"/>
        <w:rPr>
          <w:sz w:val="24"/>
        </w:rPr>
      </w:pPr>
      <w:r>
        <w:rPr>
          <w:sz w:val="24"/>
        </w:rPr>
        <w:t xml:space="preserve">3.1 </w:t>
      </w:r>
      <w:r>
        <w:rPr>
          <w:rFonts w:hint="eastAsia"/>
          <w:sz w:val="24"/>
        </w:rPr>
        <w:t xml:space="preserve"> </w:t>
      </w:r>
      <w:r>
        <w:rPr>
          <w:rFonts w:ascii="黑体" w:hAnsi="黑体" w:eastAsia="黑体"/>
          <w:sz w:val="24"/>
        </w:rPr>
        <w:t>石墨烯</w:t>
      </w:r>
      <w:r>
        <w:rPr>
          <w:rFonts w:hint="eastAsia" w:ascii="黑体" w:hAnsi="黑体" w:eastAsia="黑体"/>
          <w:sz w:val="24"/>
        </w:rPr>
        <w:t xml:space="preserve">  </w:t>
      </w:r>
      <w:r>
        <w:rPr>
          <w:rFonts w:ascii="黑体" w:hAnsi="黑体" w:eastAsia="黑体"/>
          <w:sz w:val="24"/>
        </w:rPr>
        <w:t>graphene</w:t>
      </w:r>
    </w:p>
    <w:p w14:paraId="5FC5C1DE">
      <w:pPr>
        <w:tabs>
          <w:tab w:val="left" w:pos="540"/>
        </w:tabs>
        <w:autoSpaceDE w:val="0"/>
        <w:autoSpaceDN w:val="0"/>
        <w:adjustRightInd w:val="0"/>
        <w:spacing w:line="360" w:lineRule="auto"/>
        <w:ind w:firstLine="480" w:firstLineChars="200"/>
        <w:rPr>
          <w:rFonts w:hint="eastAsia" w:ascii="黑体" w:hAnsi="黑体" w:eastAsia="黑体"/>
          <w:sz w:val="24"/>
        </w:rPr>
      </w:pPr>
      <w:r>
        <w:rPr>
          <w:rFonts w:hint="eastAsia" w:ascii="黑体" w:hAnsi="黑体" w:eastAsia="黑体"/>
          <w:sz w:val="24"/>
        </w:rPr>
        <w:t>石墨烯层 graphene layer</w:t>
      </w:r>
    </w:p>
    <w:p w14:paraId="40AB5E1B">
      <w:pPr>
        <w:tabs>
          <w:tab w:val="left" w:pos="540"/>
        </w:tabs>
        <w:autoSpaceDE w:val="0"/>
        <w:autoSpaceDN w:val="0"/>
        <w:adjustRightInd w:val="0"/>
        <w:spacing w:line="360" w:lineRule="auto"/>
        <w:ind w:firstLine="480" w:firstLineChars="200"/>
        <w:rPr>
          <w:rFonts w:hint="eastAsia" w:ascii="黑体" w:hAnsi="黑体" w:eastAsia="黑体"/>
          <w:sz w:val="24"/>
        </w:rPr>
      </w:pPr>
      <w:r>
        <w:rPr>
          <w:rFonts w:hint="eastAsia" w:ascii="黑体" w:hAnsi="黑体" w:eastAsia="黑体"/>
          <w:sz w:val="24"/>
        </w:rPr>
        <w:t>单层石墨烯 single-layer graphene; monolayer graphene</w:t>
      </w:r>
    </w:p>
    <w:p w14:paraId="09460056">
      <w:pPr>
        <w:tabs>
          <w:tab w:val="left" w:pos="540"/>
        </w:tabs>
        <w:autoSpaceDE w:val="0"/>
        <w:autoSpaceDN w:val="0"/>
        <w:adjustRightInd w:val="0"/>
        <w:spacing w:line="360" w:lineRule="auto"/>
        <w:ind w:firstLine="480" w:firstLineChars="200"/>
        <w:rPr>
          <w:sz w:val="24"/>
        </w:rPr>
      </w:pPr>
      <w:r>
        <w:rPr>
          <w:sz w:val="24"/>
        </w:rPr>
        <w:t>由一个碳原子与周围三个近邻碳原子结合形成蜂窝状结构的碳原子单层。</w:t>
      </w:r>
    </w:p>
    <w:p w14:paraId="37BECAB8">
      <w:pPr>
        <w:tabs>
          <w:tab w:val="left" w:pos="540"/>
        </w:tabs>
        <w:autoSpaceDE w:val="0"/>
        <w:autoSpaceDN w:val="0"/>
        <w:adjustRightInd w:val="0"/>
        <w:spacing w:line="360" w:lineRule="auto"/>
        <w:ind w:firstLine="420" w:firstLineChars="200"/>
      </w:pPr>
      <w:r>
        <w:t>注：由于石墨烯仅有一层，因此通常被称为单层石墨烯。石墨烯缩写为1LG</w:t>
      </w:r>
    </w:p>
    <w:p w14:paraId="407A47D7">
      <w:pPr>
        <w:tabs>
          <w:tab w:val="left" w:pos="540"/>
        </w:tabs>
        <w:autoSpaceDE w:val="0"/>
        <w:autoSpaceDN w:val="0"/>
        <w:adjustRightInd w:val="0"/>
        <w:spacing w:line="360" w:lineRule="auto"/>
        <w:ind w:firstLine="480" w:firstLineChars="200"/>
        <w:rPr>
          <w:sz w:val="24"/>
        </w:rPr>
      </w:pPr>
      <w:r>
        <w:rPr>
          <w:rFonts w:hint="eastAsia"/>
          <w:sz w:val="24"/>
        </w:rPr>
        <w:t>[</w:t>
      </w:r>
      <w:r>
        <w:rPr>
          <w:sz w:val="24"/>
        </w:rPr>
        <w:t>GB/T 30544.13-2018</w:t>
      </w:r>
      <w:r>
        <w:rPr>
          <w:rFonts w:hint="eastAsia"/>
          <w:sz w:val="24"/>
        </w:rPr>
        <w:t>，术语和定义3</w:t>
      </w:r>
      <w:r>
        <w:rPr>
          <w:sz w:val="24"/>
        </w:rPr>
        <w:t>.1.2.1]</w:t>
      </w:r>
    </w:p>
    <w:p w14:paraId="15DB79FA">
      <w:pPr>
        <w:spacing w:before="120" w:beforeLines="50" w:line="240" w:lineRule="atLeast"/>
        <w:jc w:val="left"/>
        <w:rPr>
          <w:rFonts w:hint="eastAsia" w:ascii="黑体" w:hAnsi="黑体" w:eastAsia="黑体"/>
          <w:sz w:val="24"/>
        </w:rPr>
      </w:pPr>
      <w:r>
        <w:rPr>
          <w:sz w:val="24"/>
        </w:rPr>
        <w:t xml:space="preserve">3.2 </w:t>
      </w:r>
      <w:r>
        <w:rPr>
          <w:rFonts w:hint="eastAsia" w:ascii="黑体" w:hAnsi="黑体" w:eastAsia="黑体"/>
          <w:sz w:val="24"/>
        </w:rPr>
        <w:t>氧化石墨烯 graphene oxide</w:t>
      </w:r>
    </w:p>
    <w:p w14:paraId="1FE32A3D">
      <w:pPr>
        <w:spacing w:before="120" w:beforeLines="50" w:line="240" w:lineRule="atLeast"/>
        <w:ind w:firstLine="480" w:firstLineChars="200"/>
        <w:jc w:val="left"/>
        <w:rPr>
          <w:rFonts w:eastAsia="黑体"/>
          <w:sz w:val="24"/>
        </w:rPr>
      </w:pPr>
      <w:r>
        <w:rPr>
          <w:rFonts w:hint="eastAsia" w:eastAsia="黑体"/>
          <w:sz w:val="24"/>
        </w:rPr>
        <w:t>GO</w:t>
      </w:r>
    </w:p>
    <w:p w14:paraId="68D82566">
      <w:pPr>
        <w:tabs>
          <w:tab w:val="left" w:pos="540"/>
        </w:tabs>
        <w:autoSpaceDE w:val="0"/>
        <w:autoSpaceDN w:val="0"/>
        <w:adjustRightInd w:val="0"/>
        <w:spacing w:before="120" w:beforeLines="50" w:line="360" w:lineRule="auto"/>
        <w:ind w:firstLine="480" w:firstLineChars="200"/>
        <w:rPr>
          <w:sz w:val="24"/>
        </w:rPr>
      </w:pPr>
      <w:r>
        <w:rPr>
          <w:rFonts w:hint="eastAsia"/>
          <w:sz w:val="24"/>
        </w:rPr>
        <w:t>对石墨进行氧化及剥离后所得到的化学改性石墨烯，其基平面已被强氧化改性。</w:t>
      </w:r>
    </w:p>
    <w:p w14:paraId="471F9F95">
      <w:pPr>
        <w:tabs>
          <w:tab w:val="left" w:pos="540"/>
        </w:tabs>
        <w:autoSpaceDE w:val="0"/>
        <w:autoSpaceDN w:val="0"/>
        <w:adjustRightInd w:val="0"/>
        <w:spacing w:line="360" w:lineRule="auto"/>
        <w:ind w:firstLine="420" w:firstLineChars="200"/>
      </w:pPr>
      <w:r>
        <w:rPr>
          <w:rFonts w:hint="eastAsia"/>
        </w:rPr>
        <w:t>注：氧化石墨烯是具有高氧含量（3.3）的单层材料，通常由碳氧原子比（与合成方法有关，一般约为2.0）表征。</w:t>
      </w:r>
    </w:p>
    <w:p w14:paraId="2339F5B1">
      <w:pPr>
        <w:tabs>
          <w:tab w:val="left" w:pos="540"/>
        </w:tabs>
        <w:autoSpaceDE w:val="0"/>
        <w:autoSpaceDN w:val="0"/>
        <w:adjustRightInd w:val="0"/>
        <w:spacing w:line="360" w:lineRule="auto"/>
        <w:ind w:firstLine="480" w:firstLineChars="200"/>
        <w:rPr>
          <w:sz w:val="24"/>
        </w:rPr>
      </w:pPr>
      <w:r>
        <w:rPr>
          <w:rFonts w:hint="eastAsia"/>
          <w:sz w:val="24"/>
        </w:rPr>
        <w:t>[GB/T 30544.13-2018，术语和定义3.1.2.13]</w:t>
      </w:r>
    </w:p>
    <w:p w14:paraId="0F96D334">
      <w:pPr>
        <w:spacing w:before="120" w:beforeLines="50" w:line="240" w:lineRule="atLeast"/>
        <w:jc w:val="left"/>
        <w:rPr>
          <w:rFonts w:hint="eastAsia" w:ascii="黑体" w:hAnsi="黑体" w:eastAsia="黑体"/>
          <w:sz w:val="24"/>
        </w:rPr>
      </w:pPr>
      <w:r>
        <w:rPr>
          <w:rFonts w:hint="eastAsia" w:ascii="黑体" w:hAnsi="黑体" w:eastAsia="黑体"/>
          <w:sz w:val="24"/>
        </w:rPr>
        <w:t>3.3 氧含量 Oxygen content</w:t>
      </w:r>
    </w:p>
    <w:p w14:paraId="28312884">
      <w:pPr>
        <w:tabs>
          <w:tab w:val="left" w:pos="540"/>
        </w:tabs>
        <w:autoSpaceDE w:val="0"/>
        <w:autoSpaceDN w:val="0"/>
        <w:adjustRightInd w:val="0"/>
        <w:spacing w:before="120" w:beforeLines="50" w:line="360" w:lineRule="auto"/>
        <w:ind w:firstLine="480" w:firstLineChars="200"/>
        <w:rPr>
          <w:sz w:val="24"/>
        </w:rPr>
      </w:pPr>
      <w:r>
        <w:rPr>
          <w:rFonts w:hint="eastAsia"/>
          <w:sz w:val="24"/>
        </w:rPr>
        <w:t>氧化石墨烯中氧元素的含量或百分含量，其中百分含量用原子分数或质量分数表示。</w:t>
      </w:r>
    </w:p>
    <w:p w14:paraId="00EC1365">
      <w:pPr>
        <w:spacing w:before="120" w:beforeLines="50" w:line="240" w:lineRule="atLeast"/>
        <w:jc w:val="left"/>
        <w:rPr>
          <w:rFonts w:hint="eastAsia" w:ascii="黑体" w:hAnsi="黑体" w:eastAsia="黑体"/>
          <w:sz w:val="24"/>
        </w:rPr>
      </w:pPr>
      <w:r>
        <w:rPr>
          <w:rFonts w:hint="eastAsia" w:ascii="黑体" w:hAnsi="黑体" w:eastAsia="黑体"/>
          <w:sz w:val="24"/>
        </w:rPr>
        <w:t>3.4 碳氧比 carbon to oxygen ratio</w:t>
      </w:r>
    </w:p>
    <w:p w14:paraId="41806EBC">
      <w:pPr>
        <w:spacing w:before="120" w:beforeLines="50" w:line="240" w:lineRule="atLeast"/>
        <w:ind w:firstLine="480" w:firstLineChars="200"/>
        <w:jc w:val="left"/>
        <w:rPr>
          <w:rFonts w:eastAsia="黑体"/>
          <w:sz w:val="24"/>
        </w:rPr>
      </w:pPr>
      <w:r>
        <w:rPr>
          <w:rFonts w:eastAsia="黑体"/>
          <w:sz w:val="24"/>
        </w:rPr>
        <w:t>C/O</w:t>
      </w:r>
    </w:p>
    <w:p w14:paraId="7BB0A915">
      <w:pPr>
        <w:tabs>
          <w:tab w:val="left" w:pos="540"/>
        </w:tabs>
        <w:autoSpaceDE w:val="0"/>
        <w:autoSpaceDN w:val="0"/>
        <w:adjustRightInd w:val="0"/>
        <w:spacing w:before="120" w:beforeLines="50" w:line="360" w:lineRule="auto"/>
        <w:ind w:firstLine="480" w:firstLineChars="200"/>
        <w:rPr>
          <w:sz w:val="24"/>
        </w:rPr>
      </w:pPr>
      <w:r>
        <w:rPr>
          <w:rFonts w:hint="eastAsia"/>
          <w:sz w:val="24"/>
        </w:rPr>
        <w:t xml:space="preserve">氧化石墨烯中碳元素和氧元素的百分含量比值，百分含量用原子分数或质量分数表示。 </w:t>
      </w:r>
    </w:p>
    <w:p w14:paraId="43538EF4">
      <w:pPr>
        <w:spacing w:before="120" w:beforeLines="50" w:line="240" w:lineRule="atLeast"/>
        <w:jc w:val="left"/>
        <w:rPr>
          <w:rFonts w:hint="eastAsia" w:ascii="黑体" w:hAnsi="黑体" w:eastAsia="黑体"/>
          <w:sz w:val="24"/>
        </w:rPr>
      </w:pPr>
      <w:r>
        <w:rPr>
          <w:rFonts w:hint="eastAsia" w:ascii="黑体" w:hAnsi="黑体" w:eastAsia="黑体"/>
          <w:sz w:val="24"/>
        </w:rPr>
        <w:t>3.5 氧化石墨烯浆料 graphene oxide suspension</w:t>
      </w:r>
    </w:p>
    <w:p w14:paraId="77A00379">
      <w:pPr>
        <w:tabs>
          <w:tab w:val="left" w:pos="540"/>
        </w:tabs>
        <w:autoSpaceDE w:val="0"/>
        <w:autoSpaceDN w:val="0"/>
        <w:adjustRightInd w:val="0"/>
        <w:spacing w:before="120" w:beforeLines="50" w:line="360" w:lineRule="auto"/>
        <w:ind w:firstLine="480" w:firstLineChars="200"/>
        <w:rPr>
          <w:sz w:val="24"/>
        </w:rPr>
      </w:pPr>
      <w:r>
        <w:rPr>
          <w:rFonts w:hint="eastAsia"/>
          <w:sz w:val="24"/>
        </w:rPr>
        <w:t xml:space="preserve">分散质为氧化石墨烯的多相均匀混合分散液，分散剂通常为水。 </w:t>
      </w:r>
    </w:p>
    <w:p w14:paraId="50B23B2F">
      <w:pPr>
        <w:spacing w:before="120" w:beforeLines="50" w:line="240" w:lineRule="atLeast"/>
        <w:jc w:val="left"/>
        <w:rPr>
          <w:rFonts w:hint="eastAsia" w:ascii="黑体" w:hAnsi="黑体" w:eastAsia="黑体"/>
          <w:sz w:val="24"/>
        </w:rPr>
      </w:pPr>
      <w:r>
        <w:rPr>
          <w:rFonts w:hint="eastAsia" w:ascii="黑体" w:hAnsi="黑体" w:eastAsia="黑体"/>
          <w:sz w:val="24"/>
        </w:rPr>
        <w:t>3.6 固含量 solid content</w:t>
      </w:r>
    </w:p>
    <w:p w14:paraId="60954839">
      <w:pPr>
        <w:tabs>
          <w:tab w:val="left" w:pos="540"/>
        </w:tabs>
        <w:autoSpaceDE w:val="0"/>
        <w:autoSpaceDN w:val="0"/>
        <w:adjustRightInd w:val="0"/>
        <w:spacing w:before="120" w:beforeLines="50" w:line="360" w:lineRule="auto"/>
        <w:ind w:firstLine="480" w:firstLineChars="200"/>
        <w:rPr>
          <w:sz w:val="24"/>
        </w:rPr>
      </w:pPr>
      <w:r>
        <w:rPr>
          <w:rFonts w:hint="eastAsia"/>
          <w:sz w:val="24"/>
        </w:rPr>
        <w:t>氧化石墨烯浆料在规定条件下烘干后剩余物占烘干前浆料质量的百分数。</w:t>
      </w:r>
    </w:p>
    <w:p w14:paraId="5A009DDA">
      <w:pPr>
        <w:tabs>
          <w:tab w:val="left" w:pos="540"/>
        </w:tabs>
        <w:autoSpaceDE w:val="0"/>
        <w:autoSpaceDN w:val="0"/>
        <w:adjustRightInd w:val="0"/>
        <w:spacing w:line="360" w:lineRule="auto"/>
        <w:ind w:firstLine="420" w:firstLineChars="200"/>
      </w:pPr>
      <w:r>
        <w:rPr>
          <w:rFonts w:hint="eastAsia"/>
        </w:rPr>
        <w:t>注：浆料烘干后的固体成分为氧化石墨烯及可能存在的分散剂、稳定剂等。</w:t>
      </w:r>
    </w:p>
    <w:p w14:paraId="64B4AAA8">
      <w:pPr>
        <w:spacing w:before="120" w:beforeLines="50" w:line="240" w:lineRule="atLeast"/>
        <w:jc w:val="left"/>
        <w:rPr>
          <w:rFonts w:hint="eastAsia" w:ascii="黑体" w:hAnsi="黑体" w:eastAsia="黑体"/>
          <w:sz w:val="24"/>
        </w:rPr>
      </w:pPr>
      <w:r>
        <w:rPr>
          <w:rFonts w:hint="eastAsia" w:ascii="黑体" w:hAnsi="黑体" w:eastAsia="黑体"/>
          <w:sz w:val="24"/>
        </w:rPr>
        <w:t>3.7 浆料粒度 particle size of solid in suspension</w:t>
      </w:r>
    </w:p>
    <w:p w14:paraId="0203CF8B">
      <w:pPr>
        <w:tabs>
          <w:tab w:val="left" w:pos="540"/>
        </w:tabs>
        <w:autoSpaceDE w:val="0"/>
        <w:autoSpaceDN w:val="0"/>
        <w:adjustRightInd w:val="0"/>
        <w:spacing w:before="120" w:beforeLines="50" w:line="360" w:lineRule="auto"/>
        <w:ind w:firstLine="480" w:firstLineChars="200"/>
        <w:rPr>
          <w:sz w:val="24"/>
        </w:rPr>
      </w:pPr>
      <w:r>
        <w:rPr>
          <w:rFonts w:hint="eastAsia"/>
          <w:sz w:val="24"/>
        </w:rPr>
        <w:t>氧化石墨烯浆料中氧化石墨烯颗粒的大小。</w:t>
      </w:r>
    </w:p>
    <w:p w14:paraId="673DB92C">
      <w:pPr>
        <w:spacing w:before="120" w:beforeLines="50" w:line="240" w:lineRule="atLeast"/>
        <w:jc w:val="left"/>
        <w:rPr>
          <w:rFonts w:hint="eastAsia" w:ascii="黑体" w:hAnsi="黑体" w:eastAsia="黑体"/>
          <w:sz w:val="24"/>
        </w:rPr>
      </w:pPr>
      <w:r>
        <w:rPr>
          <w:rFonts w:hint="eastAsia" w:ascii="黑体" w:hAnsi="黑体" w:eastAsia="黑体"/>
          <w:sz w:val="24"/>
        </w:rPr>
        <w:t>3.8 浆料黏度 particle size of solid in suspension</w:t>
      </w:r>
    </w:p>
    <w:p w14:paraId="45F5B73C">
      <w:pPr>
        <w:tabs>
          <w:tab w:val="left" w:pos="540"/>
        </w:tabs>
        <w:autoSpaceDE w:val="0"/>
        <w:autoSpaceDN w:val="0"/>
        <w:adjustRightInd w:val="0"/>
        <w:spacing w:before="120" w:beforeLines="50" w:line="360" w:lineRule="auto"/>
        <w:ind w:firstLine="480" w:firstLineChars="200"/>
        <w:rPr>
          <w:sz w:val="24"/>
        </w:rPr>
      </w:pPr>
      <w:r>
        <w:rPr>
          <w:rFonts w:hint="eastAsia"/>
          <w:sz w:val="24"/>
        </w:rPr>
        <w:t>氧化石墨烯浆料在两接触面质检抗拒分离的阻力。</w:t>
      </w:r>
    </w:p>
    <w:p w14:paraId="7E835900">
      <w:pPr>
        <w:tabs>
          <w:tab w:val="left" w:pos="540"/>
        </w:tabs>
        <w:autoSpaceDE w:val="0"/>
        <w:autoSpaceDN w:val="0"/>
        <w:adjustRightInd w:val="0"/>
        <w:spacing w:line="360" w:lineRule="auto"/>
        <w:ind w:firstLine="480" w:firstLineChars="200"/>
        <w:rPr>
          <w:sz w:val="24"/>
        </w:rPr>
      </w:pPr>
      <w:r>
        <w:rPr>
          <w:rFonts w:hint="eastAsia"/>
          <w:sz w:val="24"/>
        </w:rPr>
        <w:t>[GB/T 13271.3-2022，术语和定义3.4，有修改]</w:t>
      </w:r>
    </w:p>
    <w:p w14:paraId="0E4363BA">
      <w:pPr>
        <w:pStyle w:val="2"/>
        <w:spacing w:before="120" w:after="120" w:line="360" w:lineRule="auto"/>
        <w:rPr>
          <w:rFonts w:hint="eastAsia" w:ascii="黑体" w:hAnsi="黑体" w:eastAsia="黑体"/>
          <w:b w:val="0"/>
          <w:bCs w:val="0"/>
          <w:color w:val="000000" w:themeColor="text1"/>
          <w:sz w:val="24"/>
          <w:szCs w:val="20"/>
          <w14:textFill>
            <w14:solidFill>
              <w14:schemeClr w14:val="tx1"/>
            </w14:solidFill>
          </w14:textFill>
        </w:rPr>
      </w:pPr>
      <w:bookmarkStart w:id="20" w:name="_Toc196929257"/>
      <w:r>
        <w:rPr>
          <w:rFonts w:hint="eastAsia" w:ascii="黑体" w:hAnsi="黑体" w:eastAsia="黑体"/>
          <w:b w:val="0"/>
          <w:bCs w:val="0"/>
          <w:color w:val="000000" w:themeColor="text1"/>
          <w:sz w:val="24"/>
          <w:szCs w:val="20"/>
          <w14:textFill>
            <w14:solidFill>
              <w14:schemeClr w14:val="tx1"/>
            </w14:solidFill>
          </w14:textFill>
        </w:rPr>
        <w:t>4概述</w:t>
      </w:r>
      <w:bookmarkEnd w:id="20"/>
    </w:p>
    <w:p w14:paraId="2DAE4810">
      <w:pPr>
        <w:spacing w:before="120" w:beforeLines="50" w:line="360" w:lineRule="auto"/>
        <w:ind w:firstLine="480" w:firstLineChars="200"/>
        <w:jc w:val="left"/>
        <w:rPr>
          <w:rFonts w:hint="eastAsia"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氧化石墨烯的含氧官能团丰富，具有很好的水分散性，为了保持其良好的下游应用性能，通常以用水做分散介质的饼料或浆料形式生产和储存。氧化石墨烯的固含量、黏度、pH值、单层厚度、单层率、浆料粒度、片径尺寸、氧含量和碳氧比是评价其品质的关键特性参数，也是影响下游产品应用性能的重要参数，如作为石墨烯导热膜生产原料的氧化石墨烯浆料，其自身性质对导热膜产品性能有着直接影响，如图1所示。</w:t>
      </w:r>
    </w:p>
    <w:p w14:paraId="120F49AF">
      <w:pPr>
        <w:spacing w:before="120" w:beforeLines="50" w:line="360" w:lineRule="auto"/>
        <w:ind w:firstLine="420" w:firstLineChars="200"/>
        <w:jc w:val="center"/>
        <w:rPr>
          <w:rFonts w:hint="eastAsia" w:hAnsi="宋体"/>
          <w:color w:val="000000" w:themeColor="text1"/>
          <w:sz w:val="24"/>
          <w14:textFill>
            <w14:solidFill>
              <w14:schemeClr w14:val="tx1"/>
            </w14:solidFill>
          </w14:textFill>
        </w:rPr>
      </w:pPr>
      <w:bookmarkStart w:id="21" w:name="_Hlk150270385"/>
      <w:r>
        <w:drawing>
          <wp:inline distT="0" distB="0" distL="0" distR="0">
            <wp:extent cx="4785360" cy="2260600"/>
            <wp:effectExtent l="0" t="0" r="0" b="6350"/>
            <wp:docPr id="1903961621" name="图片 17" descr="图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61621" name="图片 17" descr="图标&#10;&#10;AI 生成的内容可能不正确。"/>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88233" cy="2261795"/>
                    </a:xfrm>
                    <a:prstGeom prst="rect">
                      <a:avLst/>
                    </a:prstGeom>
                    <a:noFill/>
                    <a:ln>
                      <a:noFill/>
                    </a:ln>
                  </pic:spPr>
                </pic:pic>
              </a:graphicData>
            </a:graphic>
          </wp:inline>
        </w:drawing>
      </w:r>
      <w:bookmarkEnd w:id="21"/>
    </w:p>
    <w:p w14:paraId="6F8A7711">
      <w:pPr>
        <w:spacing w:before="120" w:beforeLines="50" w:line="360" w:lineRule="auto"/>
        <w:ind w:firstLine="420" w:firstLineChars="200"/>
        <w:jc w:val="center"/>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图1 氧化石墨烯浆料关键技术特性参数与石墨烯散热膜性能参数相关性框图</w:t>
      </w:r>
    </w:p>
    <w:p w14:paraId="487F2226">
      <w:pPr>
        <w:pStyle w:val="2"/>
        <w:spacing w:before="120" w:after="120" w:line="360" w:lineRule="auto"/>
        <w:rPr>
          <w:rFonts w:hint="eastAsia" w:ascii="黑体" w:hAnsi="黑体" w:eastAsia="黑体"/>
          <w:b w:val="0"/>
          <w:bCs w:val="0"/>
          <w:color w:val="000000" w:themeColor="text1"/>
          <w:sz w:val="24"/>
          <w:szCs w:val="20"/>
          <w14:textFill>
            <w14:solidFill>
              <w14:schemeClr w14:val="tx1"/>
            </w14:solidFill>
          </w14:textFill>
        </w:rPr>
      </w:pPr>
      <w:bookmarkStart w:id="22" w:name="_Toc14821"/>
      <w:bookmarkStart w:id="23" w:name="_Toc332"/>
      <w:bookmarkStart w:id="24" w:name="_Toc14712"/>
      <w:bookmarkStart w:id="25" w:name="_Toc196929258"/>
      <w:r>
        <w:rPr>
          <w:rFonts w:ascii="黑体" w:hAnsi="黑体" w:eastAsia="黑体"/>
          <w:b w:val="0"/>
          <w:bCs w:val="0"/>
          <w:color w:val="000000" w:themeColor="text1"/>
          <w:sz w:val="24"/>
          <w:szCs w:val="20"/>
          <w14:textFill>
            <w14:solidFill>
              <w14:schemeClr w14:val="tx1"/>
            </w14:solidFill>
          </w14:textFill>
        </w:rPr>
        <w:t>5</w:t>
      </w:r>
      <w:bookmarkEnd w:id="22"/>
      <w:bookmarkEnd w:id="23"/>
      <w:bookmarkEnd w:id="24"/>
      <w:r>
        <w:rPr>
          <w:rFonts w:hint="eastAsia" w:ascii="黑体" w:hAnsi="黑体" w:eastAsia="黑体"/>
          <w:b w:val="0"/>
          <w:bCs w:val="0"/>
          <w:color w:val="000000" w:themeColor="text1"/>
          <w:sz w:val="24"/>
          <w:szCs w:val="20"/>
          <w14:textFill>
            <w14:solidFill>
              <w14:schemeClr w14:val="tx1"/>
            </w14:solidFill>
          </w14:textFill>
        </w:rPr>
        <w:t>技术要求</w:t>
      </w:r>
      <w:bookmarkEnd w:id="25"/>
    </w:p>
    <w:p w14:paraId="504DE3B2">
      <w:pPr>
        <w:ind w:firstLine="480" w:firstLineChars="200"/>
        <w:rPr>
          <w:sz w:val="24"/>
        </w:rPr>
      </w:pPr>
      <w:r>
        <w:rPr>
          <w:rFonts w:hint="eastAsia"/>
          <w:color w:val="000000" w:themeColor="text1"/>
          <w:sz w:val="24"/>
          <w14:textFill>
            <w14:solidFill>
              <w14:schemeClr w14:val="tx1"/>
            </w14:solidFill>
          </w14:textFill>
        </w:rPr>
        <w:t>氧化石墨烯浆料的关键特性参数和技术</w:t>
      </w:r>
      <w:r>
        <w:rPr>
          <w:color w:val="000000" w:themeColor="text1"/>
          <w:sz w:val="24"/>
          <w14:textFill>
            <w14:solidFill>
              <w14:schemeClr w14:val="tx1"/>
            </w14:solidFill>
          </w14:textFill>
        </w:rPr>
        <w:t>要求</w:t>
      </w:r>
      <w:r>
        <w:rPr>
          <w:rFonts w:hint="eastAsia"/>
          <w:color w:val="000000" w:themeColor="text1"/>
          <w:sz w:val="24"/>
          <w14:textFill>
            <w14:solidFill>
              <w14:schemeClr w14:val="tx1"/>
            </w14:solidFill>
          </w14:textFill>
        </w:rPr>
        <w:t>见表1</w:t>
      </w:r>
      <w:r>
        <w:rPr>
          <w:rFonts w:hint="eastAsia"/>
          <w:sz w:val="24"/>
        </w:rPr>
        <w:t>。</w:t>
      </w:r>
    </w:p>
    <w:p w14:paraId="5724FFFA">
      <w:pPr>
        <w:spacing w:line="360" w:lineRule="auto"/>
        <w:jc w:val="center"/>
        <w:rPr>
          <w:rFonts w:hint="eastAsia" w:ascii="黑体" w:hAnsi="黑体" w:eastAsia="黑体"/>
          <w:szCs w:val="21"/>
        </w:rPr>
      </w:pPr>
    </w:p>
    <w:p w14:paraId="74A7D5D8">
      <w:pPr>
        <w:spacing w:line="360" w:lineRule="auto"/>
        <w:jc w:val="center"/>
        <w:rPr>
          <w:rFonts w:hint="eastAsia" w:ascii="黑体" w:hAnsi="黑体" w:eastAsia="黑体"/>
          <w:sz w:val="24"/>
        </w:rPr>
      </w:pPr>
      <w:r>
        <w:rPr>
          <w:rFonts w:hint="eastAsia" w:ascii="黑体" w:hAnsi="黑体" w:eastAsia="黑体"/>
          <w:sz w:val="24"/>
        </w:rPr>
        <w:t>表1 氧化石墨烯浆料的技术要求</w:t>
      </w:r>
    </w:p>
    <w:tbl>
      <w:tblPr>
        <w:tblStyle w:val="18"/>
        <w:tblW w:w="8605" w:type="dxa"/>
        <w:tblInd w:w="137"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04"/>
        <w:gridCol w:w="2276"/>
        <w:gridCol w:w="1835"/>
        <w:gridCol w:w="850"/>
        <w:gridCol w:w="1574"/>
        <w:gridCol w:w="1366"/>
      </w:tblGrid>
      <w:tr w14:paraId="5AD4498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61" w:hRule="atLeast"/>
        </w:trPr>
        <w:tc>
          <w:tcPr>
            <w:tcW w:w="704" w:type="dxa"/>
            <w:vMerge w:val="restart"/>
            <w:vAlign w:val="center"/>
          </w:tcPr>
          <w:p w14:paraId="65C3AA17">
            <w:pPr>
              <w:pStyle w:val="34"/>
              <w:jc w:val="center"/>
              <w:rPr>
                <w:rFonts w:hint="eastAsia" w:ascii="黑体" w:hAnsi="黑体" w:eastAsia="黑体" w:cs="Times New Roman"/>
                <w:b/>
                <w:sz w:val="21"/>
                <w:szCs w:val="21"/>
              </w:rPr>
            </w:pPr>
            <w:r>
              <w:rPr>
                <w:rFonts w:ascii="黑体" w:hAnsi="黑体" w:eastAsia="黑体" w:cs="Times New Roman"/>
                <w:b/>
                <w:sz w:val="21"/>
                <w:szCs w:val="21"/>
              </w:rPr>
              <w:t>序号</w:t>
            </w:r>
          </w:p>
        </w:tc>
        <w:tc>
          <w:tcPr>
            <w:tcW w:w="2276" w:type="dxa"/>
            <w:vAlign w:val="center"/>
          </w:tcPr>
          <w:p w14:paraId="1E61207B">
            <w:pPr>
              <w:pStyle w:val="34"/>
              <w:jc w:val="center"/>
              <w:rPr>
                <w:rFonts w:hint="eastAsia" w:ascii="黑体" w:hAnsi="黑体" w:eastAsia="黑体" w:cs="Times New Roman"/>
                <w:b/>
                <w:sz w:val="21"/>
                <w:szCs w:val="21"/>
              </w:rPr>
            </w:pPr>
            <w:r>
              <w:rPr>
                <w:rFonts w:ascii="黑体" w:hAnsi="黑体" w:eastAsia="黑体" w:cs="Times New Roman"/>
                <w:b/>
                <w:sz w:val="21"/>
                <w:szCs w:val="21"/>
              </w:rPr>
              <w:t>测量项目</w:t>
            </w:r>
          </w:p>
        </w:tc>
        <w:tc>
          <w:tcPr>
            <w:tcW w:w="2685" w:type="dxa"/>
            <w:gridSpan w:val="2"/>
            <w:vAlign w:val="center"/>
          </w:tcPr>
          <w:p w14:paraId="0F27C649">
            <w:pPr>
              <w:pStyle w:val="34"/>
              <w:jc w:val="center"/>
              <w:rPr>
                <w:rFonts w:hint="eastAsia" w:ascii="黑体" w:hAnsi="黑体" w:eastAsia="黑体" w:cs="Times New Roman"/>
                <w:b/>
                <w:sz w:val="21"/>
                <w:szCs w:val="21"/>
              </w:rPr>
            </w:pPr>
            <w:r>
              <w:rPr>
                <w:rFonts w:ascii="黑体" w:hAnsi="黑体" w:eastAsia="黑体" w:cs="Times New Roman"/>
                <w:b/>
                <w:sz w:val="21"/>
                <w:szCs w:val="21"/>
              </w:rPr>
              <w:t>技术要求</w:t>
            </w:r>
          </w:p>
        </w:tc>
        <w:tc>
          <w:tcPr>
            <w:tcW w:w="1574" w:type="dxa"/>
            <w:vMerge w:val="restart"/>
            <w:vAlign w:val="center"/>
          </w:tcPr>
          <w:p w14:paraId="03EE8975">
            <w:pPr>
              <w:pStyle w:val="34"/>
              <w:jc w:val="center"/>
              <w:rPr>
                <w:rFonts w:hint="eastAsia" w:ascii="黑体" w:hAnsi="黑体" w:eastAsia="黑体" w:cs="Times New Roman"/>
                <w:b/>
                <w:sz w:val="21"/>
                <w:szCs w:val="21"/>
              </w:rPr>
            </w:pPr>
            <w:r>
              <w:rPr>
                <w:rFonts w:hint="eastAsia" w:ascii="黑体" w:hAnsi="黑体" w:eastAsia="黑体" w:cs="Times New Roman"/>
                <w:b/>
                <w:sz w:val="21"/>
                <w:szCs w:val="21"/>
              </w:rPr>
              <w:t>测试方法</w:t>
            </w:r>
          </w:p>
        </w:tc>
        <w:tc>
          <w:tcPr>
            <w:tcW w:w="1366" w:type="dxa"/>
            <w:vMerge w:val="restart"/>
            <w:vAlign w:val="center"/>
          </w:tcPr>
          <w:p w14:paraId="711C040D">
            <w:pPr>
              <w:pStyle w:val="34"/>
              <w:jc w:val="center"/>
              <w:rPr>
                <w:rFonts w:hint="eastAsia" w:ascii="黑体" w:hAnsi="黑体" w:eastAsia="黑体" w:cs="Times New Roman"/>
                <w:b/>
                <w:sz w:val="21"/>
                <w:szCs w:val="21"/>
              </w:rPr>
            </w:pPr>
            <w:r>
              <w:rPr>
                <w:rFonts w:hint="eastAsia" w:ascii="黑体" w:hAnsi="黑体" w:eastAsia="黑体" w:cs="Times New Roman"/>
                <w:b/>
                <w:sz w:val="21"/>
                <w:szCs w:val="21"/>
              </w:rPr>
              <w:t>备注</w:t>
            </w:r>
          </w:p>
        </w:tc>
      </w:tr>
      <w:tr w14:paraId="4FB3B82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13" w:hRule="atLeast"/>
        </w:trPr>
        <w:tc>
          <w:tcPr>
            <w:tcW w:w="704" w:type="dxa"/>
            <w:vMerge w:val="continue"/>
            <w:vAlign w:val="center"/>
          </w:tcPr>
          <w:p w14:paraId="1D16968B">
            <w:pPr>
              <w:pStyle w:val="34"/>
              <w:spacing w:line="360" w:lineRule="auto"/>
              <w:jc w:val="center"/>
              <w:rPr>
                <w:rFonts w:ascii="Times New Roman" w:cs="Times New Roman"/>
                <w:b/>
                <w:sz w:val="21"/>
                <w:szCs w:val="21"/>
              </w:rPr>
            </w:pPr>
          </w:p>
        </w:tc>
        <w:tc>
          <w:tcPr>
            <w:tcW w:w="2276" w:type="dxa"/>
            <w:vAlign w:val="center"/>
          </w:tcPr>
          <w:p w14:paraId="069A10B1">
            <w:pPr>
              <w:pStyle w:val="34"/>
              <w:snapToGrid w:val="0"/>
              <w:jc w:val="center"/>
              <w:rPr>
                <w:rFonts w:hint="eastAsia" w:ascii="黑体" w:hAnsi="黑体" w:eastAsia="黑体" w:cs="Times New Roman"/>
                <w:b/>
                <w:sz w:val="21"/>
                <w:szCs w:val="21"/>
              </w:rPr>
            </w:pPr>
            <w:r>
              <w:rPr>
                <w:rFonts w:ascii="黑体" w:hAnsi="黑体" w:eastAsia="黑体" w:cs="Times New Roman"/>
                <w:b/>
                <w:sz w:val="21"/>
                <w:szCs w:val="21"/>
              </w:rPr>
              <w:t>关键特性参数</w:t>
            </w:r>
          </w:p>
        </w:tc>
        <w:tc>
          <w:tcPr>
            <w:tcW w:w="1835" w:type="dxa"/>
            <w:vAlign w:val="center"/>
          </w:tcPr>
          <w:p w14:paraId="5F7F00A2">
            <w:pPr>
              <w:pStyle w:val="34"/>
              <w:snapToGrid w:val="0"/>
              <w:jc w:val="center"/>
              <w:rPr>
                <w:rFonts w:hint="eastAsia" w:ascii="黑体" w:hAnsi="黑体" w:eastAsia="黑体" w:cs="Times New Roman"/>
                <w:b/>
                <w:sz w:val="21"/>
                <w:szCs w:val="21"/>
              </w:rPr>
            </w:pPr>
            <w:r>
              <w:rPr>
                <w:rFonts w:ascii="黑体" w:hAnsi="黑体" w:eastAsia="黑体" w:cs="Times New Roman"/>
                <w:b/>
                <w:sz w:val="21"/>
                <w:szCs w:val="21"/>
              </w:rPr>
              <w:t>技术指标</w:t>
            </w:r>
          </w:p>
        </w:tc>
        <w:tc>
          <w:tcPr>
            <w:tcW w:w="850" w:type="dxa"/>
            <w:vAlign w:val="center"/>
          </w:tcPr>
          <w:p w14:paraId="264838BF">
            <w:pPr>
              <w:pStyle w:val="34"/>
              <w:snapToGrid w:val="0"/>
              <w:jc w:val="center"/>
              <w:rPr>
                <w:rFonts w:hint="eastAsia" w:ascii="黑体" w:hAnsi="黑体" w:eastAsia="黑体" w:cs="Times New Roman"/>
                <w:b/>
                <w:sz w:val="21"/>
                <w:szCs w:val="21"/>
              </w:rPr>
            </w:pPr>
            <w:r>
              <w:rPr>
                <w:rFonts w:ascii="黑体" w:hAnsi="黑体" w:eastAsia="黑体" w:cs="Times New Roman"/>
                <w:b/>
                <w:sz w:val="21"/>
                <w:szCs w:val="21"/>
              </w:rPr>
              <w:t>单位</w:t>
            </w:r>
          </w:p>
        </w:tc>
        <w:tc>
          <w:tcPr>
            <w:tcW w:w="1574" w:type="dxa"/>
            <w:vMerge w:val="continue"/>
            <w:vAlign w:val="center"/>
          </w:tcPr>
          <w:p w14:paraId="3BB5AE76">
            <w:pPr>
              <w:pStyle w:val="34"/>
              <w:spacing w:line="360" w:lineRule="auto"/>
              <w:jc w:val="center"/>
              <w:rPr>
                <w:rFonts w:ascii="Times New Roman" w:cs="Times New Roman"/>
                <w:b/>
                <w:sz w:val="21"/>
                <w:szCs w:val="21"/>
              </w:rPr>
            </w:pPr>
          </w:p>
        </w:tc>
        <w:tc>
          <w:tcPr>
            <w:tcW w:w="1366" w:type="dxa"/>
            <w:vMerge w:val="continue"/>
            <w:vAlign w:val="center"/>
          </w:tcPr>
          <w:p w14:paraId="43F2ABC0">
            <w:pPr>
              <w:pStyle w:val="34"/>
              <w:spacing w:line="360" w:lineRule="auto"/>
              <w:jc w:val="center"/>
              <w:rPr>
                <w:rFonts w:ascii="Times New Roman" w:cs="Times New Roman"/>
                <w:b/>
                <w:sz w:val="21"/>
                <w:szCs w:val="21"/>
              </w:rPr>
            </w:pPr>
          </w:p>
        </w:tc>
      </w:tr>
      <w:tr w14:paraId="132ED6E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04" w:type="dxa"/>
            <w:vAlign w:val="center"/>
          </w:tcPr>
          <w:p w14:paraId="3CAC43A6">
            <w:pPr>
              <w:pStyle w:val="34"/>
              <w:spacing w:before="60" w:beforeLines="25" w:after="60" w:afterLines="25"/>
              <w:jc w:val="center"/>
              <w:rPr>
                <w:rFonts w:ascii="Times New Roman" w:cs="Times New Roman"/>
                <w:sz w:val="21"/>
                <w:szCs w:val="21"/>
              </w:rPr>
            </w:pPr>
            <w:r>
              <w:rPr>
                <w:rFonts w:ascii="Times New Roman" w:cs="Times New Roman"/>
                <w:sz w:val="21"/>
                <w:szCs w:val="21"/>
              </w:rPr>
              <w:t>1</w:t>
            </w:r>
          </w:p>
        </w:tc>
        <w:tc>
          <w:tcPr>
            <w:tcW w:w="2276" w:type="dxa"/>
            <w:vAlign w:val="center"/>
          </w:tcPr>
          <w:p w14:paraId="37AC19D6">
            <w:pPr>
              <w:pStyle w:val="34"/>
              <w:jc w:val="center"/>
              <w:rPr>
                <w:rFonts w:ascii="Times New Roman" w:cs="Times New Roman"/>
                <w:sz w:val="21"/>
                <w:szCs w:val="21"/>
              </w:rPr>
            </w:pPr>
            <w:r>
              <w:rPr>
                <w:rFonts w:ascii="Times New Roman" w:cs="Times New Roman"/>
                <w:sz w:val="21"/>
                <w:szCs w:val="21"/>
              </w:rPr>
              <w:t>浆料固含量</w:t>
            </w:r>
          </w:p>
        </w:tc>
        <w:tc>
          <w:tcPr>
            <w:tcW w:w="1835" w:type="dxa"/>
            <w:vAlign w:val="center"/>
          </w:tcPr>
          <w:p w14:paraId="6067FB1C">
            <w:pPr>
              <w:pStyle w:val="34"/>
              <w:jc w:val="center"/>
              <w:rPr>
                <w:rFonts w:ascii="Times New Roman" w:cs="Times New Roman"/>
                <w:sz w:val="21"/>
                <w:szCs w:val="21"/>
              </w:rPr>
            </w:pPr>
            <w:r>
              <w:rPr>
                <w:rFonts w:ascii="Times New Roman" w:cs="Times New Roman"/>
                <w:sz w:val="21"/>
                <w:szCs w:val="21"/>
              </w:rPr>
              <w:t>35</w:t>
            </w:r>
            <w:r>
              <w:rPr>
                <w:rFonts w:hint="eastAsia" w:ascii="Times New Roman" w:cs="Times New Roman"/>
                <w:sz w:val="21"/>
                <w:szCs w:val="21"/>
              </w:rPr>
              <w:t>~</w:t>
            </w:r>
            <w:r>
              <w:rPr>
                <w:rFonts w:ascii="Times New Roman" w:cs="Times New Roman"/>
                <w:sz w:val="21"/>
                <w:szCs w:val="21"/>
              </w:rPr>
              <w:t>50</w:t>
            </w:r>
            <w:r>
              <w:rPr>
                <w:rFonts w:hint="eastAsia" w:ascii="Times New Roman" w:cs="Times New Roman"/>
                <w:sz w:val="21"/>
                <w:szCs w:val="21"/>
              </w:rPr>
              <w:t>（饼料）</w:t>
            </w:r>
          </w:p>
          <w:p w14:paraId="10194F3F">
            <w:pPr>
              <w:pStyle w:val="34"/>
              <w:jc w:val="center"/>
              <w:rPr>
                <w:rFonts w:ascii="Times New Roman" w:cs="Times New Roman"/>
                <w:sz w:val="21"/>
                <w:szCs w:val="21"/>
              </w:rPr>
            </w:pPr>
            <w:r>
              <w:rPr>
                <w:rFonts w:hint="eastAsia" w:ascii="Times New Roman" w:cs="Times New Roman"/>
                <w:sz w:val="21"/>
                <w:szCs w:val="21"/>
              </w:rPr>
              <w:t>0</w:t>
            </w:r>
            <w:r>
              <w:rPr>
                <w:rFonts w:ascii="Times New Roman" w:cs="Times New Roman"/>
                <w:sz w:val="21"/>
                <w:szCs w:val="21"/>
              </w:rPr>
              <w:t>.1</w:t>
            </w:r>
            <w:r>
              <w:rPr>
                <w:rFonts w:hint="eastAsia" w:ascii="Times New Roman" w:cs="Times New Roman"/>
                <w:sz w:val="21"/>
                <w:szCs w:val="21"/>
              </w:rPr>
              <w:t>~</w:t>
            </w:r>
            <w:r>
              <w:rPr>
                <w:rFonts w:ascii="Times New Roman" w:cs="Times New Roman"/>
                <w:sz w:val="21"/>
                <w:szCs w:val="21"/>
              </w:rPr>
              <w:t>1.5</w:t>
            </w:r>
            <w:r>
              <w:rPr>
                <w:rFonts w:hint="eastAsia" w:ascii="Times New Roman" w:cs="Times New Roman"/>
                <w:sz w:val="21"/>
                <w:szCs w:val="21"/>
              </w:rPr>
              <w:t>（浆料）</w:t>
            </w:r>
          </w:p>
        </w:tc>
        <w:tc>
          <w:tcPr>
            <w:tcW w:w="850" w:type="dxa"/>
            <w:vAlign w:val="center"/>
          </w:tcPr>
          <w:p w14:paraId="3601D0D8">
            <w:pPr>
              <w:pStyle w:val="34"/>
              <w:jc w:val="center"/>
              <w:rPr>
                <w:rFonts w:ascii="Times New Roman" w:cs="Times New Roman"/>
                <w:sz w:val="21"/>
                <w:szCs w:val="21"/>
              </w:rPr>
            </w:pPr>
            <w:r>
              <w:rPr>
                <w:rFonts w:ascii="Times New Roman" w:cs="Times New Roman"/>
                <w:sz w:val="21"/>
                <w:szCs w:val="21"/>
              </w:rPr>
              <w:t>wt%</w:t>
            </w:r>
          </w:p>
        </w:tc>
        <w:tc>
          <w:tcPr>
            <w:tcW w:w="1574" w:type="dxa"/>
            <w:vAlign w:val="center"/>
          </w:tcPr>
          <w:p w14:paraId="7EB5C7B4">
            <w:pPr>
              <w:pStyle w:val="34"/>
              <w:jc w:val="center"/>
              <w:rPr>
                <w:rFonts w:ascii="Times New Roman" w:cs="Times New Roman"/>
                <w:sz w:val="21"/>
                <w:szCs w:val="21"/>
              </w:rPr>
            </w:pPr>
            <w:r>
              <w:rPr>
                <w:rFonts w:ascii="Times New Roman" w:cs="Times New Roman"/>
                <w:sz w:val="21"/>
                <w:szCs w:val="21"/>
              </w:rPr>
              <w:t>GB/T 1725</w:t>
            </w:r>
          </w:p>
        </w:tc>
        <w:tc>
          <w:tcPr>
            <w:tcW w:w="1366" w:type="dxa"/>
            <w:vAlign w:val="center"/>
          </w:tcPr>
          <w:p w14:paraId="1EBB5168">
            <w:pPr>
              <w:pStyle w:val="34"/>
              <w:snapToGrid w:val="0"/>
              <w:jc w:val="center"/>
              <w:rPr>
                <w:rFonts w:ascii="Times New Roman" w:cs="Times New Roman"/>
                <w:sz w:val="21"/>
                <w:szCs w:val="21"/>
              </w:rPr>
            </w:pPr>
            <w:r>
              <w:rPr>
                <w:rFonts w:hint="eastAsia" w:ascii="Times New Roman" w:cs="Times New Roman"/>
                <w:sz w:val="21"/>
                <w:szCs w:val="21"/>
              </w:rPr>
              <w:t>必选</w:t>
            </w:r>
          </w:p>
        </w:tc>
      </w:tr>
      <w:tr w14:paraId="1DE9479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04" w:type="dxa"/>
            <w:vAlign w:val="center"/>
          </w:tcPr>
          <w:p w14:paraId="06F81B44">
            <w:pPr>
              <w:pStyle w:val="34"/>
              <w:spacing w:before="60" w:beforeLines="25" w:after="60" w:afterLines="25"/>
              <w:jc w:val="center"/>
              <w:rPr>
                <w:rFonts w:hint="eastAsia" w:ascii="Times New Roman" w:cs="Times New Roman"/>
                <w:sz w:val="21"/>
                <w:szCs w:val="21"/>
              </w:rPr>
            </w:pPr>
            <w:r>
              <w:rPr>
                <w:rFonts w:hint="eastAsia" w:ascii="Times New Roman" w:cs="Times New Roman"/>
                <w:sz w:val="21"/>
                <w:szCs w:val="21"/>
              </w:rPr>
              <w:t>2</w:t>
            </w:r>
          </w:p>
        </w:tc>
        <w:tc>
          <w:tcPr>
            <w:tcW w:w="2276" w:type="dxa"/>
            <w:vAlign w:val="center"/>
          </w:tcPr>
          <w:p w14:paraId="22D8F34C">
            <w:pPr>
              <w:pStyle w:val="34"/>
              <w:jc w:val="center"/>
              <w:rPr>
                <w:rFonts w:ascii="Times New Roman" w:cs="Times New Roman"/>
                <w:sz w:val="21"/>
                <w:szCs w:val="21"/>
              </w:rPr>
            </w:pPr>
            <w:r>
              <w:rPr>
                <w:rFonts w:hint="eastAsia" w:ascii="Times New Roman" w:cs="Times New Roman"/>
                <w:sz w:val="21"/>
                <w:szCs w:val="21"/>
              </w:rPr>
              <w:t>浆料</w:t>
            </w:r>
            <w:r>
              <w:rPr>
                <w:rFonts w:ascii="Times New Roman" w:cs="Times New Roman"/>
                <w:sz w:val="21"/>
                <w:szCs w:val="21"/>
              </w:rPr>
              <w:t>pH值</w:t>
            </w:r>
          </w:p>
        </w:tc>
        <w:tc>
          <w:tcPr>
            <w:tcW w:w="1835" w:type="dxa"/>
            <w:vAlign w:val="center"/>
          </w:tcPr>
          <w:p w14:paraId="68A57D4A">
            <w:pPr>
              <w:pStyle w:val="34"/>
              <w:jc w:val="center"/>
              <w:rPr>
                <w:rFonts w:ascii="Times New Roman" w:cs="Times New Roman"/>
                <w:sz w:val="21"/>
                <w:szCs w:val="21"/>
              </w:rPr>
            </w:pPr>
            <w:r>
              <w:rPr>
                <w:rFonts w:ascii="Times New Roman" w:cs="Times New Roman"/>
                <w:sz w:val="21"/>
                <w:szCs w:val="21"/>
              </w:rPr>
              <w:t>2.7～</w:t>
            </w:r>
            <w:r>
              <w:rPr>
                <w:rFonts w:hint="eastAsia" w:ascii="Times New Roman" w:cs="Times New Roman"/>
                <w:sz w:val="21"/>
                <w:szCs w:val="21"/>
              </w:rPr>
              <w:t>3</w:t>
            </w:r>
            <w:r>
              <w:rPr>
                <w:rFonts w:ascii="Times New Roman" w:cs="Times New Roman"/>
                <w:sz w:val="21"/>
                <w:szCs w:val="21"/>
              </w:rPr>
              <w:t>.0</w:t>
            </w:r>
          </w:p>
          <w:p w14:paraId="77FA7576">
            <w:pPr>
              <w:pStyle w:val="34"/>
              <w:jc w:val="center"/>
              <w:rPr>
                <w:rFonts w:ascii="Times New Roman" w:cs="Times New Roman"/>
                <w:sz w:val="21"/>
                <w:szCs w:val="21"/>
              </w:rPr>
            </w:pPr>
            <w:r>
              <w:rPr>
                <w:rFonts w:hint="eastAsia" w:ascii="Times New Roman" w:cs="Times New Roman"/>
                <w:sz w:val="21"/>
                <w:szCs w:val="21"/>
              </w:rPr>
              <w:t>（0</w:t>
            </w:r>
            <w:r>
              <w:rPr>
                <w:rFonts w:ascii="Times New Roman" w:cs="Times New Roman"/>
                <w:sz w:val="21"/>
                <w:szCs w:val="21"/>
              </w:rPr>
              <w:t>.5 wt</w:t>
            </w:r>
            <w:r>
              <w:rPr>
                <w:rFonts w:hint="eastAsia" w:ascii="Times New Roman" w:cs="Times New Roman"/>
                <w:sz w:val="21"/>
                <w:szCs w:val="21"/>
              </w:rPr>
              <w:t xml:space="preserve"> %浆料）</w:t>
            </w:r>
          </w:p>
        </w:tc>
        <w:tc>
          <w:tcPr>
            <w:tcW w:w="850" w:type="dxa"/>
            <w:vAlign w:val="center"/>
          </w:tcPr>
          <w:p w14:paraId="5E791B50">
            <w:pPr>
              <w:pStyle w:val="34"/>
              <w:jc w:val="center"/>
              <w:rPr>
                <w:rFonts w:ascii="Times New Roman" w:cs="Times New Roman"/>
                <w:sz w:val="21"/>
                <w:szCs w:val="21"/>
              </w:rPr>
            </w:pPr>
            <w:r>
              <w:rPr>
                <w:rFonts w:hint="eastAsia" w:ascii="Times New Roman" w:cs="Times New Roman"/>
                <w:sz w:val="21"/>
                <w:szCs w:val="21"/>
              </w:rPr>
              <w:t>/</w:t>
            </w:r>
          </w:p>
        </w:tc>
        <w:tc>
          <w:tcPr>
            <w:tcW w:w="1574" w:type="dxa"/>
            <w:vAlign w:val="center"/>
          </w:tcPr>
          <w:p w14:paraId="6719B82F">
            <w:pPr>
              <w:pStyle w:val="34"/>
              <w:jc w:val="center"/>
              <w:rPr>
                <w:rFonts w:ascii="Times New Roman" w:cs="Times New Roman"/>
                <w:sz w:val="21"/>
                <w:szCs w:val="21"/>
              </w:rPr>
            </w:pPr>
            <w:r>
              <w:rPr>
                <w:rFonts w:ascii="Times New Roman" w:cs="Times New Roman"/>
                <w:sz w:val="21"/>
                <w:szCs w:val="21"/>
              </w:rPr>
              <w:t>GB/T 9724</w:t>
            </w:r>
          </w:p>
        </w:tc>
        <w:tc>
          <w:tcPr>
            <w:tcW w:w="1366" w:type="dxa"/>
            <w:vAlign w:val="center"/>
          </w:tcPr>
          <w:p w14:paraId="60BBC108">
            <w:pPr>
              <w:pStyle w:val="34"/>
              <w:snapToGrid w:val="0"/>
              <w:jc w:val="center"/>
              <w:rPr>
                <w:rFonts w:ascii="Times New Roman" w:cs="Times New Roman"/>
                <w:sz w:val="21"/>
                <w:szCs w:val="21"/>
              </w:rPr>
            </w:pPr>
            <w:r>
              <w:rPr>
                <w:rFonts w:hint="eastAsia" w:ascii="Times New Roman" w:cs="Times New Roman"/>
                <w:sz w:val="21"/>
                <w:szCs w:val="21"/>
              </w:rPr>
              <w:t>必选</w:t>
            </w:r>
          </w:p>
        </w:tc>
      </w:tr>
      <w:tr w14:paraId="7DBB711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04" w:type="dxa"/>
            <w:vAlign w:val="center"/>
          </w:tcPr>
          <w:p w14:paraId="196B6297">
            <w:pPr>
              <w:pStyle w:val="34"/>
              <w:spacing w:before="60" w:beforeLines="25" w:after="60" w:afterLines="25"/>
              <w:jc w:val="center"/>
              <w:rPr>
                <w:rFonts w:ascii="Times New Roman" w:cs="Times New Roman"/>
                <w:sz w:val="21"/>
                <w:szCs w:val="21"/>
              </w:rPr>
            </w:pPr>
            <w:r>
              <w:rPr>
                <w:rFonts w:hint="eastAsia" w:ascii="Times New Roman" w:cs="Times New Roman"/>
                <w:sz w:val="21"/>
                <w:szCs w:val="21"/>
              </w:rPr>
              <w:t>3</w:t>
            </w:r>
          </w:p>
        </w:tc>
        <w:tc>
          <w:tcPr>
            <w:tcW w:w="2276" w:type="dxa"/>
            <w:vAlign w:val="center"/>
          </w:tcPr>
          <w:p w14:paraId="1169F509">
            <w:pPr>
              <w:pStyle w:val="34"/>
              <w:jc w:val="center"/>
              <w:rPr>
                <w:rFonts w:ascii="Times New Roman" w:cs="Times New Roman"/>
                <w:sz w:val="21"/>
                <w:szCs w:val="21"/>
              </w:rPr>
            </w:pPr>
            <w:r>
              <w:rPr>
                <w:rFonts w:ascii="Times New Roman" w:cs="Times New Roman"/>
                <w:sz w:val="21"/>
                <w:szCs w:val="21"/>
              </w:rPr>
              <w:t>浆料黏度</w:t>
            </w:r>
          </w:p>
        </w:tc>
        <w:tc>
          <w:tcPr>
            <w:tcW w:w="1835" w:type="dxa"/>
            <w:vAlign w:val="center"/>
          </w:tcPr>
          <w:p w14:paraId="28EA117E">
            <w:pPr>
              <w:pStyle w:val="34"/>
              <w:jc w:val="center"/>
              <w:rPr>
                <w:rFonts w:ascii="Times New Roman" w:cs="Times New Roman"/>
                <w:sz w:val="21"/>
                <w:szCs w:val="21"/>
              </w:rPr>
            </w:pPr>
            <w:r>
              <w:rPr>
                <w:rFonts w:ascii="Times New Roman" w:cs="Times New Roman"/>
                <w:sz w:val="21"/>
                <w:szCs w:val="21"/>
              </w:rPr>
              <w:t>&lt;30</w:t>
            </w:r>
          </w:p>
        </w:tc>
        <w:tc>
          <w:tcPr>
            <w:tcW w:w="850" w:type="dxa"/>
            <w:vAlign w:val="center"/>
          </w:tcPr>
          <w:p w14:paraId="36ADE398">
            <w:pPr>
              <w:pStyle w:val="34"/>
              <w:jc w:val="center"/>
              <w:rPr>
                <w:rFonts w:ascii="Times New Roman" w:cs="Times New Roman"/>
                <w:sz w:val="21"/>
                <w:szCs w:val="21"/>
              </w:rPr>
            </w:pPr>
            <w:r>
              <w:rPr>
                <w:rFonts w:ascii="Times New Roman" w:cs="Times New Roman"/>
                <w:sz w:val="21"/>
                <w:szCs w:val="21"/>
              </w:rPr>
              <w:t>Pa</w:t>
            </w:r>
            <w:bookmarkStart w:id="26" w:name="_Hlk197421261"/>
            <w:r>
              <w:rPr>
                <w:rFonts w:ascii="Times New Roman" w:cs="Times New Roman"/>
                <w:sz w:val="21"/>
                <w:szCs w:val="21"/>
              </w:rPr>
              <w:t>·s</w:t>
            </w:r>
            <w:bookmarkEnd w:id="26"/>
          </w:p>
        </w:tc>
        <w:tc>
          <w:tcPr>
            <w:tcW w:w="1574" w:type="dxa"/>
            <w:vAlign w:val="center"/>
          </w:tcPr>
          <w:p w14:paraId="4801095F">
            <w:pPr>
              <w:pStyle w:val="34"/>
              <w:jc w:val="center"/>
              <w:rPr>
                <w:rFonts w:ascii="Times New Roman" w:cs="Times New Roman"/>
                <w:sz w:val="21"/>
                <w:szCs w:val="21"/>
              </w:rPr>
            </w:pPr>
            <w:r>
              <w:rPr>
                <w:rFonts w:ascii="Times New Roman" w:cs="Times New Roman"/>
                <w:sz w:val="21"/>
                <w:szCs w:val="21"/>
              </w:rPr>
              <w:t>GB/T 22235</w:t>
            </w:r>
          </w:p>
        </w:tc>
        <w:tc>
          <w:tcPr>
            <w:tcW w:w="1366" w:type="dxa"/>
            <w:vAlign w:val="center"/>
          </w:tcPr>
          <w:p w14:paraId="6AD16277">
            <w:pPr>
              <w:pStyle w:val="34"/>
              <w:snapToGrid w:val="0"/>
              <w:jc w:val="center"/>
              <w:rPr>
                <w:rFonts w:ascii="Times New Roman" w:cs="Times New Roman"/>
                <w:sz w:val="21"/>
                <w:szCs w:val="21"/>
              </w:rPr>
            </w:pPr>
            <w:r>
              <w:rPr>
                <w:rFonts w:hint="eastAsia" w:ascii="Times New Roman" w:cs="Times New Roman"/>
                <w:sz w:val="21"/>
                <w:szCs w:val="21"/>
              </w:rPr>
              <w:t>必选</w:t>
            </w:r>
          </w:p>
        </w:tc>
      </w:tr>
      <w:tr w14:paraId="2CD9B8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04" w:type="dxa"/>
            <w:vAlign w:val="center"/>
          </w:tcPr>
          <w:p w14:paraId="27C1932A">
            <w:pPr>
              <w:pStyle w:val="34"/>
              <w:spacing w:before="60" w:beforeLines="25" w:after="60" w:afterLines="25"/>
              <w:jc w:val="center"/>
              <w:rPr>
                <w:rFonts w:hint="eastAsia" w:ascii="Times New Roman" w:cs="Times New Roman"/>
                <w:sz w:val="21"/>
                <w:szCs w:val="21"/>
              </w:rPr>
            </w:pPr>
            <w:r>
              <w:rPr>
                <w:rFonts w:hint="eastAsia" w:ascii="Times New Roman" w:cs="Times New Roman"/>
                <w:sz w:val="21"/>
                <w:szCs w:val="21"/>
              </w:rPr>
              <w:t>4</w:t>
            </w:r>
          </w:p>
        </w:tc>
        <w:tc>
          <w:tcPr>
            <w:tcW w:w="2276" w:type="dxa"/>
            <w:vAlign w:val="center"/>
          </w:tcPr>
          <w:p w14:paraId="48378D72">
            <w:pPr>
              <w:pStyle w:val="34"/>
              <w:jc w:val="center"/>
              <w:rPr>
                <w:rFonts w:hint="eastAsia" w:ascii="Times New Roman" w:cs="Times New Roman"/>
                <w:sz w:val="21"/>
                <w:szCs w:val="21"/>
              </w:rPr>
            </w:pPr>
            <w:r>
              <w:rPr>
                <w:rFonts w:ascii="Times New Roman" w:cs="Times New Roman"/>
                <w:sz w:val="21"/>
                <w:szCs w:val="21"/>
              </w:rPr>
              <w:t>浆料粒度（D50）</w:t>
            </w:r>
          </w:p>
        </w:tc>
        <w:tc>
          <w:tcPr>
            <w:tcW w:w="1835" w:type="dxa"/>
            <w:vAlign w:val="center"/>
          </w:tcPr>
          <w:p w14:paraId="163A2A6E">
            <w:pPr>
              <w:pStyle w:val="34"/>
              <w:jc w:val="center"/>
              <w:rPr>
                <w:rFonts w:hint="eastAsia" w:ascii="Times New Roman" w:cs="Times New Roman"/>
                <w:sz w:val="21"/>
                <w:szCs w:val="21"/>
              </w:rPr>
            </w:pPr>
            <w:r>
              <w:rPr>
                <w:rFonts w:hint="eastAsia" w:ascii="Times New Roman" w:cs="Times New Roman"/>
                <w:sz w:val="21"/>
                <w:szCs w:val="21"/>
              </w:rPr>
              <w:t>&gt;</w:t>
            </w:r>
            <w:r>
              <w:rPr>
                <w:rFonts w:ascii="Times New Roman" w:cs="Times New Roman"/>
                <w:sz w:val="21"/>
                <w:szCs w:val="21"/>
              </w:rPr>
              <w:t>10</w:t>
            </w:r>
          </w:p>
        </w:tc>
        <w:tc>
          <w:tcPr>
            <w:tcW w:w="850" w:type="dxa"/>
            <w:vAlign w:val="center"/>
          </w:tcPr>
          <w:p w14:paraId="507A7389">
            <w:pPr>
              <w:pStyle w:val="34"/>
              <w:jc w:val="center"/>
              <w:rPr>
                <w:rFonts w:hint="eastAsia" w:ascii="Times New Roman" w:cs="Times New Roman"/>
                <w:sz w:val="21"/>
                <w:szCs w:val="21"/>
              </w:rPr>
            </w:pPr>
            <w:bookmarkStart w:id="27" w:name="_Hlk197421552"/>
            <w:r>
              <w:rPr>
                <w:rFonts w:ascii="Times New Roman" w:cs="Times New Roman"/>
                <w:sz w:val="21"/>
                <w:szCs w:val="21"/>
              </w:rPr>
              <w:t>μm</w:t>
            </w:r>
            <w:bookmarkEnd w:id="27"/>
          </w:p>
        </w:tc>
        <w:tc>
          <w:tcPr>
            <w:tcW w:w="1574" w:type="dxa"/>
            <w:vAlign w:val="center"/>
          </w:tcPr>
          <w:p w14:paraId="04AF23BE">
            <w:pPr>
              <w:pStyle w:val="34"/>
              <w:jc w:val="center"/>
              <w:rPr>
                <w:rFonts w:ascii="Times New Roman" w:cs="Times New Roman"/>
                <w:sz w:val="21"/>
                <w:szCs w:val="21"/>
              </w:rPr>
            </w:pPr>
            <w:r>
              <w:rPr>
                <w:rFonts w:ascii="Times New Roman" w:cs="Times New Roman"/>
                <w:sz w:val="21"/>
                <w:szCs w:val="21"/>
              </w:rPr>
              <w:t>GB/T 19077</w:t>
            </w:r>
          </w:p>
        </w:tc>
        <w:tc>
          <w:tcPr>
            <w:tcW w:w="1366" w:type="dxa"/>
            <w:vAlign w:val="center"/>
          </w:tcPr>
          <w:p w14:paraId="4DFAE2C0">
            <w:pPr>
              <w:pStyle w:val="34"/>
              <w:jc w:val="center"/>
              <w:rPr>
                <w:rFonts w:hint="eastAsia" w:ascii="Times New Roman" w:cs="Times New Roman"/>
                <w:sz w:val="21"/>
                <w:szCs w:val="21"/>
              </w:rPr>
            </w:pPr>
            <w:r>
              <w:rPr>
                <w:rFonts w:hint="eastAsia" w:ascii="Times New Roman" w:cs="Times New Roman"/>
                <w:sz w:val="21"/>
                <w:szCs w:val="21"/>
              </w:rPr>
              <w:t>必选</w:t>
            </w:r>
          </w:p>
        </w:tc>
      </w:tr>
      <w:tr w14:paraId="7C5ECEE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04" w:type="dxa"/>
            <w:vAlign w:val="center"/>
          </w:tcPr>
          <w:p w14:paraId="5C3360DA">
            <w:pPr>
              <w:pStyle w:val="34"/>
              <w:spacing w:before="60" w:beforeLines="25" w:after="60" w:afterLines="25"/>
              <w:jc w:val="center"/>
              <w:rPr>
                <w:rFonts w:hint="eastAsia" w:ascii="Times New Roman" w:cs="Times New Roman"/>
                <w:sz w:val="21"/>
                <w:szCs w:val="21"/>
              </w:rPr>
            </w:pPr>
            <w:r>
              <w:rPr>
                <w:rFonts w:hint="eastAsia" w:ascii="Times New Roman" w:cs="Times New Roman"/>
                <w:sz w:val="21"/>
                <w:szCs w:val="21"/>
              </w:rPr>
              <w:t>5</w:t>
            </w:r>
          </w:p>
        </w:tc>
        <w:tc>
          <w:tcPr>
            <w:tcW w:w="2276" w:type="dxa"/>
            <w:vAlign w:val="center"/>
          </w:tcPr>
          <w:p w14:paraId="3A175FCA">
            <w:pPr>
              <w:pStyle w:val="34"/>
              <w:jc w:val="center"/>
              <w:rPr>
                <w:rFonts w:hint="eastAsia" w:ascii="Times New Roman" w:cs="Times New Roman"/>
                <w:sz w:val="21"/>
                <w:szCs w:val="21"/>
              </w:rPr>
            </w:pPr>
            <w:r>
              <w:rPr>
                <w:rFonts w:hint="eastAsia" w:ascii="Times New Roman" w:cs="Times New Roman"/>
                <w:sz w:val="21"/>
                <w:szCs w:val="21"/>
              </w:rPr>
              <w:t>片径尺寸</w:t>
            </w:r>
          </w:p>
        </w:tc>
        <w:tc>
          <w:tcPr>
            <w:tcW w:w="1835" w:type="dxa"/>
            <w:vAlign w:val="center"/>
          </w:tcPr>
          <w:p w14:paraId="2DC2A4FF">
            <w:pPr>
              <w:pStyle w:val="34"/>
              <w:jc w:val="center"/>
              <w:rPr>
                <w:rFonts w:hint="eastAsia" w:ascii="Times New Roman" w:cs="Times New Roman"/>
                <w:sz w:val="21"/>
                <w:szCs w:val="21"/>
              </w:rPr>
            </w:pPr>
            <w:r>
              <w:rPr>
                <w:rFonts w:hint="eastAsia" w:ascii="Times New Roman" w:cs="Times New Roman"/>
                <w:sz w:val="21"/>
                <w:szCs w:val="21"/>
              </w:rPr>
              <w:t>&gt;</w:t>
            </w:r>
            <w:r>
              <w:rPr>
                <w:rFonts w:ascii="Times New Roman" w:cs="Times New Roman"/>
                <w:sz w:val="21"/>
                <w:szCs w:val="21"/>
              </w:rPr>
              <w:t>10</w:t>
            </w:r>
          </w:p>
        </w:tc>
        <w:tc>
          <w:tcPr>
            <w:tcW w:w="850" w:type="dxa"/>
            <w:vAlign w:val="center"/>
          </w:tcPr>
          <w:p w14:paraId="1F409199">
            <w:pPr>
              <w:pStyle w:val="34"/>
              <w:jc w:val="center"/>
              <w:rPr>
                <w:rFonts w:hint="eastAsia" w:ascii="Times New Roman" w:cs="Times New Roman"/>
                <w:sz w:val="21"/>
                <w:szCs w:val="21"/>
              </w:rPr>
            </w:pPr>
            <w:r>
              <w:rPr>
                <w:rFonts w:ascii="Times New Roman" w:cs="Times New Roman"/>
                <w:sz w:val="21"/>
                <w:szCs w:val="21"/>
              </w:rPr>
              <w:t>μm</w:t>
            </w:r>
          </w:p>
        </w:tc>
        <w:tc>
          <w:tcPr>
            <w:tcW w:w="1574" w:type="dxa"/>
            <w:vAlign w:val="center"/>
          </w:tcPr>
          <w:p w14:paraId="0B1E4E96">
            <w:pPr>
              <w:pStyle w:val="34"/>
              <w:jc w:val="center"/>
              <w:rPr>
                <w:rFonts w:ascii="Times New Roman" w:cs="Times New Roman"/>
                <w:sz w:val="21"/>
                <w:szCs w:val="21"/>
              </w:rPr>
            </w:pPr>
            <w:r>
              <w:rPr>
                <w:rFonts w:hint="eastAsia" w:ascii="Times New Roman" w:cs="Times New Roman"/>
                <w:sz w:val="21"/>
                <w:szCs w:val="21"/>
              </w:rPr>
              <w:t>JJF ××××</w:t>
            </w:r>
          </w:p>
        </w:tc>
        <w:tc>
          <w:tcPr>
            <w:tcW w:w="1366" w:type="dxa"/>
            <w:vAlign w:val="center"/>
          </w:tcPr>
          <w:p w14:paraId="24B98638">
            <w:pPr>
              <w:pStyle w:val="34"/>
              <w:jc w:val="center"/>
              <w:rPr>
                <w:rFonts w:hint="eastAsia" w:ascii="Times New Roman" w:cs="Times New Roman"/>
                <w:sz w:val="21"/>
                <w:szCs w:val="21"/>
              </w:rPr>
            </w:pPr>
            <w:r>
              <w:rPr>
                <w:rFonts w:hint="eastAsia" w:ascii="Times New Roman" w:cs="Times New Roman"/>
                <w:sz w:val="21"/>
                <w:szCs w:val="21"/>
              </w:rPr>
              <w:t>必选</w:t>
            </w:r>
          </w:p>
        </w:tc>
      </w:tr>
      <w:tr w14:paraId="3B066E1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04" w:type="dxa"/>
            <w:vAlign w:val="center"/>
          </w:tcPr>
          <w:p w14:paraId="0446C723">
            <w:pPr>
              <w:pStyle w:val="34"/>
              <w:spacing w:before="60" w:beforeLines="25" w:after="60" w:afterLines="25"/>
              <w:jc w:val="center"/>
              <w:rPr>
                <w:rFonts w:ascii="Times New Roman" w:cs="Times New Roman"/>
                <w:sz w:val="21"/>
                <w:szCs w:val="21"/>
              </w:rPr>
            </w:pPr>
            <w:r>
              <w:rPr>
                <w:rFonts w:hint="eastAsia" w:ascii="Times New Roman" w:cs="Times New Roman"/>
                <w:sz w:val="21"/>
                <w:szCs w:val="21"/>
              </w:rPr>
              <w:t>6</w:t>
            </w:r>
          </w:p>
        </w:tc>
        <w:tc>
          <w:tcPr>
            <w:tcW w:w="2276" w:type="dxa"/>
            <w:vAlign w:val="center"/>
          </w:tcPr>
          <w:p w14:paraId="2A524CA1">
            <w:pPr>
              <w:pStyle w:val="34"/>
              <w:jc w:val="center"/>
              <w:rPr>
                <w:rFonts w:ascii="Times New Roman" w:cs="Times New Roman"/>
                <w:sz w:val="21"/>
                <w:szCs w:val="21"/>
              </w:rPr>
            </w:pPr>
            <w:r>
              <w:rPr>
                <w:rFonts w:hint="eastAsia" w:ascii="Times New Roman" w:cs="Times New Roman"/>
                <w:sz w:val="21"/>
                <w:szCs w:val="21"/>
              </w:rPr>
              <w:t>单层厚度</w:t>
            </w:r>
          </w:p>
        </w:tc>
        <w:tc>
          <w:tcPr>
            <w:tcW w:w="1835" w:type="dxa"/>
            <w:vAlign w:val="center"/>
          </w:tcPr>
          <w:p w14:paraId="325277D5">
            <w:pPr>
              <w:pStyle w:val="34"/>
              <w:jc w:val="center"/>
              <w:rPr>
                <w:rFonts w:ascii="Times New Roman" w:cs="Times New Roman"/>
                <w:sz w:val="21"/>
                <w:szCs w:val="21"/>
              </w:rPr>
            </w:pPr>
            <w:r>
              <w:rPr>
                <w:rFonts w:ascii="Times New Roman" w:cs="Times New Roman"/>
                <w:sz w:val="21"/>
                <w:szCs w:val="21"/>
              </w:rPr>
              <w:t>≤1.2</w:t>
            </w:r>
          </w:p>
        </w:tc>
        <w:tc>
          <w:tcPr>
            <w:tcW w:w="850" w:type="dxa"/>
            <w:vAlign w:val="center"/>
          </w:tcPr>
          <w:p w14:paraId="20CBFAD3">
            <w:pPr>
              <w:pStyle w:val="34"/>
              <w:jc w:val="center"/>
              <w:rPr>
                <w:rFonts w:ascii="Times New Roman" w:cs="Times New Roman"/>
                <w:sz w:val="21"/>
                <w:szCs w:val="21"/>
              </w:rPr>
            </w:pPr>
            <w:r>
              <w:rPr>
                <w:rFonts w:hint="eastAsia" w:ascii="Times New Roman" w:cs="Times New Roman"/>
                <w:sz w:val="21"/>
                <w:szCs w:val="21"/>
              </w:rPr>
              <w:t>nm</w:t>
            </w:r>
          </w:p>
        </w:tc>
        <w:tc>
          <w:tcPr>
            <w:tcW w:w="1574" w:type="dxa"/>
            <w:vAlign w:val="center"/>
          </w:tcPr>
          <w:p w14:paraId="4C623F54">
            <w:pPr>
              <w:pStyle w:val="34"/>
              <w:jc w:val="center"/>
              <w:rPr>
                <w:rFonts w:ascii="Times New Roman" w:cs="Times New Roman"/>
                <w:sz w:val="21"/>
                <w:szCs w:val="21"/>
              </w:rPr>
            </w:pPr>
            <w:r>
              <w:rPr>
                <w:rFonts w:hint="eastAsia" w:ascii="Times New Roman" w:cs="Times New Roman"/>
                <w:sz w:val="21"/>
                <w:szCs w:val="21"/>
              </w:rPr>
              <w:t>GB∕T 40066</w:t>
            </w:r>
          </w:p>
        </w:tc>
        <w:tc>
          <w:tcPr>
            <w:tcW w:w="1366" w:type="dxa"/>
            <w:vAlign w:val="center"/>
          </w:tcPr>
          <w:p w14:paraId="702448B6">
            <w:pPr>
              <w:pStyle w:val="34"/>
              <w:jc w:val="center"/>
              <w:rPr>
                <w:rFonts w:ascii="Times New Roman" w:cs="Times New Roman"/>
                <w:sz w:val="21"/>
                <w:szCs w:val="21"/>
              </w:rPr>
            </w:pPr>
            <w:r>
              <w:rPr>
                <w:rFonts w:hint="eastAsia" w:ascii="Times New Roman" w:cs="Times New Roman"/>
                <w:sz w:val="21"/>
                <w:szCs w:val="21"/>
              </w:rPr>
              <w:t>必选</w:t>
            </w:r>
          </w:p>
        </w:tc>
      </w:tr>
      <w:tr w14:paraId="46D0C23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04" w:type="dxa"/>
            <w:vAlign w:val="center"/>
          </w:tcPr>
          <w:p w14:paraId="14595BE8">
            <w:pPr>
              <w:pStyle w:val="34"/>
              <w:spacing w:before="60" w:beforeLines="25" w:after="60" w:afterLines="25"/>
              <w:jc w:val="center"/>
              <w:rPr>
                <w:rFonts w:hint="eastAsia" w:ascii="Times New Roman" w:cs="Times New Roman"/>
                <w:sz w:val="21"/>
                <w:szCs w:val="21"/>
              </w:rPr>
            </w:pPr>
            <w:r>
              <w:rPr>
                <w:rFonts w:hint="eastAsia" w:ascii="Times New Roman" w:cs="Times New Roman"/>
                <w:sz w:val="21"/>
                <w:szCs w:val="21"/>
              </w:rPr>
              <w:t>7</w:t>
            </w:r>
          </w:p>
        </w:tc>
        <w:tc>
          <w:tcPr>
            <w:tcW w:w="2276" w:type="dxa"/>
            <w:vAlign w:val="center"/>
          </w:tcPr>
          <w:p w14:paraId="43279CB6">
            <w:pPr>
              <w:pStyle w:val="34"/>
              <w:jc w:val="center"/>
              <w:rPr>
                <w:rFonts w:hint="eastAsia" w:ascii="Times New Roman" w:cs="Times New Roman"/>
                <w:sz w:val="21"/>
                <w:szCs w:val="21"/>
              </w:rPr>
            </w:pPr>
            <w:r>
              <w:rPr>
                <w:rFonts w:hint="eastAsia" w:ascii="Times New Roman" w:cs="Times New Roman"/>
                <w:sz w:val="21"/>
                <w:szCs w:val="21"/>
              </w:rPr>
              <w:t>单层率</w:t>
            </w:r>
          </w:p>
        </w:tc>
        <w:tc>
          <w:tcPr>
            <w:tcW w:w="1835" w:type="dxa"/>
            <w:vAlign w:val="center"/>
          </w:tcPr>
          <w:p w14:paraId="61B3CC41">
            <w:pPr>
              <w:pStyle w:val="34"/>
              <w:jc w:val="center"/>
              <w:rPr>
                <w:rFonts w:ascii="Times New Roman" w:cs="Times New Roman"/>
                <w:sz w:val="21"/>
                <w:szCs w:val="21"/>
              </w:rPr>
            </w:pPr>
            <w:r>
              <w:rPr>
                <w:rFonts w:ascii="Times New Roman" w:cs="Times New Roman"/>
                <w:sz w:val="21"/>
                <w:szCs w:val="21"/>
              </w:rPr>
              <w:t>&gt;</w:t>
            </w:r>
            <w:r>
              <w:rPr>
                <w:rFonts w:hint="eastAsia" w:ascii="Times New Roman" w:cs="Times New Roman"/>
                <w:sz w:val="21"/>
                <w:szCs w:val="21"/>
              </w:rPr>
              <w:t>9</w:t>
            </w:r>
            <w:r>
              <w:rPr>
                <w:rFonts w:ascii="Times New Roman" w:cs="Times New Roman"/>
                <w:sz w:val="21"/>
                <w:szCs w:val="21"/>
              </w:rPr>
              <w:t>0</w:t>
            </w:r>
          </w:p>
        </w:tc>
        <w:tc>
          <w:tcPr>
            <w:tcW w:w="850" w:type="dxa"/>
            <w:vAlign w:val="center"/>
          </w:tcPr>
          <w:p w14:paraId="49AFC728">
            <w:pPr>
              <w:pStyle w:val="34"/>
              <w:jc w:val="center"/>
              <w:rPr>
                <w:rFonts w:hint="eastAsia" w:ascii="Times New Roman" w:cs="Times New Roman"/>
                <w:sz w:val="21"/>
                <w:szCs w:val="21"/>
              </w:rPr>
            </w:pPr>
            <w:r>
              <w:rPr>
                <w:rFonts w:hint="eastAsia" w:ascii="Times New Roman" w:cs="Times New Roman"/>
                <w:sz w:val="21"/>
                <w:szCs w:val="21"/>
              </w:rPr>
              <w:t>%</w:t>
            </w:r>
          </w:p>
        </w:tc>
        <w:tc>
          <w:tcPr>
            <w:tcW w:w="1574" w:type="dxa"/>
            <w:vAlign w:val="center"/>
          </w:tcPr>
          <w:p w14:paraId="777838CC">
            <w:pPr>
              <w:pStyle w:val="34"/>
              <w:jc w:val="center"/>
              <w:rPr>
                <w:rFonts w:ascii="Times New Roman" w:cs="Times New Roman"/>
                <w:sz w:val="21"/>
                <w:szCs w:val="21"/>
              </w:rPr>
            </w:pPr>
            <w:r>
              <w:rPr>
                <w:rFonts w:hint="eastAsia" w:ascii="Times New Roman" w:cs="Times New Roman"/>
                <w:sz w:val="21"/>
                <w:szCs w:val="21"/>
              </w:rPr>
              <w:t>JJF ××××</w:t>
            </w:r>
          </w:p>
        </w:tc>
        <w:tc>
          <w:tcPr>
            <w:tcW w:w="1366" w:type="dxa"/>
            <w:vAlign w:val="center"/>
          </w:tcPr>
          <w:p w14:paraId="5A27E032">
            <w:pPr>
              <w:pStyle w:val="34"/>
              <w:jc w:val="center"/>
              <w:rPr>
                <w:rFonts w:hint="eastAsia" w:ascii="Times New Roman" w:cs="Times New Roman"/>
                <w:sz w:val="21"/>
                <w:szCs w:val="21"/>
              </w:rPr>
            </w:pPr>
            <w:r>
              <w:rPr>
                <w:rFonts w:hint="eastAsia" w:ascii="Times New Roman" w:cs="Times New Roman"/>
                <w:sz w:val="21"/>
                <w:szCs w:val="21"/>
              </w:rPr>
              <w:t>可选</w:t>
            </w:r>
          </w:p>
        </w:tc>
      </w:tr>
      <w:tr w14:paraId="0DC3C14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04" w:type="dxa"/>
            <w:vAlign w:val="center"/>
          </w:tcPr>
          <w:p w14:paraId="15E526BD">
            <w:pPr>
              <w:pStyle w:val="34"/>
              <w:spacing w:before="60" w:beforeLines="25" w:after="60" w:afterLines="25"/>
              <w:jc w:val="center"/>
              <w:rPr>
                <w:rFonts w:ascii="Times New Roman" w:cs="Times New Roman"/>
                <w:sz w:val="21"/>
                <w:szCs w:val="21"/>
              </w:rPr>
            </w:pPr>
            <w:r>
              <w:rPr>
                <w:rFonts w:hint="eastAsia" w:ascii="Times New Roman" w:cs="Times New Roman"/>
                <w:sz w:val="21"/>
                <w:szCs w:val="21"/>
              </w:rPr>
              <w:t>8</w:t>
            </w:r>
          </w:p>
        </w:tc>
        <w:tc>
          <w:tcPr>
            <w:tcW w:w="2276" w:type="dxa"/>
            <w:vAlign w:val="center"/>
          </w:tcPr>
          <w:p w14:paraId="130BDCAE">
            <w:pPr>
              <w:pStyle w:val="34"/>
              <w:jc w:val="center"/>
              <w:rPr>
                <w:rFonts w:ascii="Times New Roman" w:cs="Times New Roman"/>
                <w:sz w:val="21"/>
                <w:szCs w:val="21"/>
              </w:rPr>
            </w:pPr>
            <w:r>
              <w:rPr>
                <w:rFonts w:hint="eastAsia" w:ascii="Times New Roman" w:cs="Times New Roman"/>
                <w:sz w:val="21"/>
                <w:szCs w:val="21"/>
              </w:rPr>
              <w:t>碳氧比</w:t>
            </w:r>
          </w:p>
        </w:tc>
        <w:tc>
          <w:tcPr>
            <w:tcW w:w="1835" w:type="dxa"/>
            <w:vAlign w:val="center"/>
          </w:tcPr>
          <w:p w14:paraId="16341AE5">
            <w:pPr>
              <w:pStyle w:val="34"/>
              <w:jc w:val="center"/>
              <w:rPr>
                <w:rFonts w:ascii="Times New Roman" w:cs="Times New Roman"/>
                <w:sz w:val="21"/>
                <w:szCs w:val="21"/>
              </w:rPr>
            </w:pPr>
            <w:r>
              <w:rPr>
                <w:rFonts w:hint="eastAsia" w:ascii="Times New Roman" w:cs="Times New Roman"/>
                <w:sz w:val="21"/>
                <w:szCs w:val="21"/>
              </w:rPr>
              <w:t>~2</w:t>
            </w:r>
            <w:r>
              <w:rPr>
                <w:rFonts w:ascii="Times New Roman" w:cs="Times New Roman"/>
                <w:sz w:val="21"/>
                <w:szCs w:val="21"/>
              </w:rPr>
              <w:t>.0</w:t>
            </w:r>
          </w:p>
        </w:tc>
        <w:tc>
          <w:tcPr>
            <w:tcW w:w="850" w:type="dxa"/>
            <w:vAlign w:val="center"/>
          </w:tcPr>
          <w:p w14:paraId="67F86F66">
            <w:pPr>
              <w:pStyle w:val="34"/>
              <w:jc w:val="center"/>
              <w:rPr>
                <w:rFonts w:ascii="Times New Roman" w:cs="Times New Roman"/>
                <w:sz w:val="21"/>
                <w:szCs w:val="21"/>
              </w:rPr>
            </w:pPr>
            <w:r>
              <w:rPr>
                <w:rFonts w:hint="eastAsia" w:ascii="Times New Roman" w:cs="Times New Roman"/>
                <w:sz w:val="21"/>
                <w:szCs w:val="21"/>
              </w:rPr>
              <w:t>/</w:t>
            </w:r>
          </w:p>
        </w:tc>
        <w:tc>
          <w:tcPr>
            <w:tcW w:w="1574" w:type="dxa"/>
            <w:vAlign w:val="center"/>
          </w:tcPr>
          <w:p w14:paraId="40D67C56">
            <w:pPr>
              <w:pStyle w:val="34"/>
              <w:jc w:val="center"/>
              <w:rPr>
                <w:rFonts w:ascii="Times New Roman" w:cs="Times New Roman"/>
                <w:sz w:val="21"/>
                <w:szCs w:val="21"/>
              </w:rPr>
            </w:pPr>
            <w:r>
              <w:rPr>
                <w:rFonts w:ascii="Times New Roman" w:cs="Times New Roman"/>
                <w:sz w:val="21"/>
                <w:szCs w:val="21"/>
              </w:rPr>
              <w:t>GB/T 43598</w:t>
            </w:r>
          </w:p>
        </w:tc>
        <w:tc>
          <w:tcPr>
            <w:tcW w:w="1366" w:type="dxa"/>
            <w:vAlign w:val="center"/>
          </w:tcPr>
          <w:p w14:paraId="7F6CD8BD">
            <w:pPr>
              <w:pStyle w:val="34"/>
              <w:jc w:val="center"/>
              <w:rPr>
                <w:rFonts w:ascii="Times New Roman" w:cs="Times New Roman"/>
                <w:sz w:val="21"/>
                <w:szCs w:val="21"/>
              </w:rPr>
            </w:pPr>
            <w:r>
              <w:rPr>
                <w:rFonts w:hint="eastAsia" w:ascii="Times New Roman" w:cs="Times New Roman"/>
                <w:sz w:val="21"/>
                <w:szCs w:val="21"/>
              </w:rPr>
              <w:t>必选</w:t>
            </w:r>
          </w:p>
        </w:tc>
      </w:tr>
    </w:tbl>
    <w:p w14:paraId="340EBE7E">
      <w:pPr>
        <w:pStyle w:val="2"/>
        <w:spacing w:before="360" w:after="120" w:line="360" w:lineRule="auto"/>
        <w:rPr>
          <w:rFonts w:hint="eastAsia" w:ascii="黑体" w:hAnsi="黑体" w:eastAsia="黑体"/>
          <w:b w:val="0"/>
          <w:bCs w:val="0"/>
          <w:color w:val="000000" w:themeColor="text1"/>
          <w:sz w:val="24"/>
          <w:szCs w:val="20"/>
          <w14:textFill>
            <w14:solidFill>
              <w14:schemeClr w14:val="tx1"/>
            </w14:solidFill>
          </w14:textFill>
        </w:rPr>
      </w:pPr>
      <w:bookmarkStart w:id="28" w:name="_Toc111200858"/>
      <w:bookmarkStart w:id="29" w:name="_Toc196929259"/>
      <w:bookmarkStart w:id="30" w:name="_Toc25919"/>
      <w:bookmarkStart w:id="31" w:name="_Toc6252"/>
      <w:bookmarkStart w:id="32" w:name="_Toc17936"/>
      <w:r>
        <w:rPr>
          <w:rFonts w:ascii="黑体" w:hAnsi="黑体" w:eastAsia="黑体"/>
          <w:b w:val="0"/>
          <w:bCs w:val="0"/>
          <w:color w:val="000000" w:themeColor="text1"/>
          <w:sz w:val="24"/>
          <w:szCs w:val="20"/>
          <w14:textFill>
            <w14:solidFill>
              <w14:schemeClr w14:val="tx1"/>
            </w14:solidFill>
          </w14:textFill>
        </w:rPr>
        <w:t>6</w:t>
      </w:r>
      <w:r>
        <w:rPr>
          <w:rFonts w:hint="eastAsia" w:ascii="黑体" w:hAnsi="黑体" w:eastAsia="黑体"/>
          <w:b w:val="0"/>
          <w:bCs w:val="0"/>
          <w:color w:val="000000" w:themeColor="text1"/>
          <w:sz w:val="24"/>
          <w:szCs w:val="20"/>
          <w14:textFill>
            <w14:solidFill>
              <w14:schemeClr w14:val="tx1"/>
            </w14:solidFill>
          </w14:textFill>
        </w:rPr>
        <w:t xml:space="preserve"> 测量条件</w:t>
      </w:r>
      <w:bookmarkEnd w:id="28"/>
      <w:r>
        <w:rPr>
          <w:rFonts w:hint="eastAsia" w:ascii="黑体" w:hAnsi="黑体" w:eastAsia="黑体"/>
          <w:b w:val="0"/>
          <w:bCs w:val="0"/>
          <w:color w:val="000000" w:themeColor="text1"/>
          <w:sz w:val="24"/>
          <w:szCs w:val="20"/>
          <w14:textFill>
            <w14:solidFill>
              <w14:schemeClr w14:val="tx1"/>
            </w14:solidFill>
          </w14:textFill>
        </w:rPr>
        <w:t>和标准物质</w:t>
      </w:r>
      <w:bookmarkEnd w:id="29"/>
    </w:p>
    <w:p w14:paraId="34AEBBEB">
      <w:pPr>
        <w:tabs>
          <w:tab w:val="left" w:pos="1290"/>
        </w:tabs>
        <w:snapToGrid w:val="0"/>
        <w:spacing w:line="360" w:lineRule="auto"/>
        <w:rPr>
          <w:sz w:val="24"/>
          <w:szCs w:val="20"/>
          <w:lang w:val="zh-CN"/>
        </w:rPr>
      </w:pPr>
      <w:bookmarkStart w:id="33" w:name="_Toc111200859"/>
      <w:r>
        <w:rPr>
          <w:sz w:val="24"/>
          <w:szCs w:val="20"/>
          <w:lang w:val="zh-CN"/>
        </w:rPr>
        <w:t>6.1 环境条件</w:t>
      </w:r>
      <w:bookmarkEnd w:id="33"/>
    </w:p>
    <w:p w14:paraId="2E6BFF8A">
      <w:pPr>
        <w:tabs>
          <w:tab w:val="left" w:pos="1290"/>
        </w:tabs>
        <w:snapToGrid w:val="0"/>
        <w:spacing w:line="360" w:lineRule="auto"/>
        <w:rPr>
          <w:sz w:val="24"/>
          <w:szCs w:val="20"/>
          <w:lang w:val="zh-CN"/>
        </w:rPr>
      </w:pPr>
      <w:r>
        <w:rPr>
          <w:sz w:val="24"/>
          <w:szCs w:val="20"/>
          <w:lang w:val="zh-CN"/>
        </w:rPr>
        <w:t>6.1.1 环境温度：（15~30）</w:t>
      </w:r>
      <w:r>
        <w:rPr>
          <w:rFonts w:hint="eastAsia"/>
          <w:sz w:val="24"/>
          <w:szCs w:val="20"/>
          <w:lang w:val="zh-CN"/>
        </w:rPr>
        <w:t>℃，温度波动不超过±</w:t>
      </w:r>
      <w:r>
        <w:rPr>
          <w:sz w:val="24"/>
          <w:szCs w:val="20"/>
          <w:lang w:val="zh-CN"/>
        </w:rPr>
        <w:t>2</w:t>
      </w:r>
      <w:r>
        <w:rPr>
          <w:rFonts w:hint="eastAsia"/>
          <w:sz w:val="24"/>
          <w:szCs w:val="20"/>
          <w:lang w:val="zh-CN"/>
        </w:rPr>
        <w:t>℃</w:t>
      </w:r>
      <w:r>
        <w:rPr>
          <w:sz w:val="24"/>
          <w:szCs w:val="20"/>
          <w:lang w:val="zh-CN"/>
        </w:rPr>
        <w:t>；</w:t>
      </w:r>
    </w:p>
    <w:p w14:paraId="5A98DC41">
      <w:pPr>
        <w:tabs>
          <w:tab w:val="left" w:pos="1290"/>
        </w:tabs>
        <w:snapToGrid w:val="0"/>
        <w:spacing w:line="360" w:lineRule="auto"/>
        <w:rPr>
          <w:sz w:val="24"/>
          <w:szCs w:val="20"/>
          <w:lang w:val="zh-CN"/>
        </w:rPr>
      </w:pPr>
      <w:r>
        <w:rPr>
          <w:sz w:val="24"/>
          <w:szCs w:val="20"/>
          <w:lang w:val="zh-CN"/>
        </w:rPr>
        <w:t>6.1.2 相对湿度：</w:t>
      </w:r>
      <w:r>
        <w:rPr>
          <w:rFonts w:hint="eastAsia"/>
          <w:sz w:val="24"/>
          <w:szCs w:val="20"/>
          <w:lang w:val="zh-CN"/>
        </w:rPr>
        <w:t>≤8</w:t>
      </w:r>
      <w:r>
        <w:rPr>
          <w:sz w:val="24"/>
          <w:szCs w:val="20"/>
          <w:lang w:val="zh-CN"/>
        </w:rPr>
        <w:t>5%</w:t>
      </w:r>
      <w:r>
        <w:rPr>
          <w:rFonts w:hint="eastAsia"/>
          <w:sz w:val="24"/>
          <w:szCs w:val="20"/>
          <w:lang w:val="zh-CN"/>
        </w:rPr>
        <w:t xml:space="preserve"> RH。</w:t>
      </w:r>
    </w:p>
    <w:p w14:paraId="78C35C01">
      <w:pPr>
        <w:tabs>
          <w:tab w:val="left" w:pos="1290"/>
        </w:tabs>
        <w:snapToGrid w:val="0"/>
        <w:spacing w:line="360" w:lineRule="auto"/>
        <w:rPr>
          <w:sz w:val="24"/>
          <w:szCs w:val="20"/>
          <w:lang w:val="zh-CN"/>
        </w:rPr>
      </w:pPr>
      <w:bookmarkStart w:id="34" w:name="_Toc111200860"/>
      <w:r>
        <w:rPr>
          <w:sz w:val="24"/>
          <w:szCs w:val="20"/>
          <w:lang w:val="zh-CN"/>
        </w:rPr>
        <w:t xml:space="preserve">6.2 </w:t>
      </w:r>
      <w:r>
        <w:rPr>
          <w:rFonts w:hint="eastAsia"/>
          <w:sz w:val="24"/>
          <w:szCs w:val="20"/>
          <w:lang w:val="zh-CN"/>
        </w:rPr>
        <w:t>标准物质</w:t>
      </w:r>
      <w:bookmarkEnd w:id="34"/>
    </w:p>
    <w:p w14:paraId="7D581CA0">
      <w:pPr>
        <w:tabs>
          <w:tab w:val="left" w:pos="1290"/>
        </w:tabs>
        <w:snapToGrid w:val="0"/>
        <w:spacing w:line="360" w:lineRule="auto"/>
        <w:ind w:firstLine="420"/>
        <w:rPr>
          <w:sz w:val="24"/>
          <w:szCs w:val="20"/>
        </w:rPr>
      </w:pPr>
      <w:r>
        <w:rPr>
          <w:rFonts w:hint="eastAsia"/>
          <w:sz w:val="24"/>
          <w:szCs w:val="20"/>
        </w:rPr>
        <w:t>标准物质的技术要求见表2</w:t>
      </w:r>
      <w:r>
        <w:rPr>
          <w:sz w:val="24"/>
          <w:szCs w:val="20"/>
        </w:rPr>
        <w:t xml:space="preserve">. </w:t>
      </w:r>
    </w:p>
    <w:p w14:paraId="33FFB76A">
      <w:pPr>
        <w:spacing w:before="240" w:beforeLines="100" w:line="360" w:lineRule="auto"/>
        <w:jc w:val="center"/>
        <w:rPr>
          <w:sz w:val="24"/>
        </w:rPr>
      </w:pPr>
      <w:r>
        <w:rPr>
          <w:rFonts w:hint="eastAsia" w:ascii="黑体" w:hAnsi="黑体" w:eastAsia="黑体"/>
          <w:sz w:val="24"/>
        </w:rPr>
        <w:t>表2 测量项目对应标准物质的技术要求</w:t>
      </w:r>
    </w:p>
    <w:tbl>
      <w:tblPr>
        <w:tblStyle w:val="19"/>
        <w:tblW w:w="891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61"/>
        <w:gridCol w:w="2126"/>
        <w:gridCol w:w="2127"/>
        <w:gridCol w:w="3402"/>
      </w:tblGrid>
      <w:tr w14:paraId="2C66CD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trPr>
        <w:tc>
          <w:tcPr>
            <w:tcW w:w="1261" w:type="dxa"/>
            <w:vMerge w:val="restart"/>
            <w:vAlign w:val="center"/>
          </w:tcPr>
          <w:p w14:paraId="6E23B114">
            <w:pPr>
              <w:tabs>
                <w:tab w:val="left" w:pos="1290"/>
              </w:tabs>
              <w:snapToGrid w:val="0"/>
              <w:jc w:val="center"/>
              <w:rPr>
                <w:rFonts w:hint="eastAsia" w:ascii="黑体" w:hAnsi="黑体" w:eastAsia="黑体"/>
                <w:szCs w:val="21"/>
                <w:lang w:val="zh-CN"/>
              </w:rPr>
            </w:pPr>
            <w:r>
              <w:rPr>
                <w:rFonts w:hint="eastAsia" w:ascii="黑体" w:hAnsi="黑体" w:eastAsia="黑体"/>
                <w:szCs w:val="21"/>
                <w:lang w:val="zh-CN"/>
              </w:rPr>
              <w:t>测量项目</w:t>
            </w:r>
          </w:p>
        </w:tc>
        <w:tc>
          <w:tcPr>
            <w:tcW w:w="2126" w:type="dxa"/>
            <w:vMerge w:val="restart"/>
            <w:vAlign w:val="center"/>
          </w:tcPr>
          <w:p w14:paraId="6A4D4DBD">
            <w:pPr>
              <w:tabs>
                <w:tab w:val="left" w:pos="1290"/>
              </w:tabs>
              <w:snapToGrid w:val="0"/>
              <w:jc w:val="center"/>
              <w:rPr>
                <w:rFonts w:hint="eastAsia" w:ascii="黑体" w:hAnsi="黑体" w:eastAsia="黑体"/>
                <w:szCs w:val="21"/>
                <w:lang w:val="zh-CN"/>
              </w:rPr>
            </w:pPr>
            <w:r>
              <w:rPr>
                <w:rFonts w:hint="eastAsia" w:ascii="黑体" w:hAnsi="黑体" w:eastAsia="黑体"/>
                <w:szCs w:val="21"/>
                <w:lang w:val="zh-CN"/>
              </w:rPr>
              <w:t>标准物质名称</w:t>
            </w:r>
          </w:p>
        </w:tc>
        <w:tc>
          <w:tcPr>
            <w:tcW w:w="5529" w:type="dxa"/>
            <w:gridSpan w:val="2"/>
            <w:vAlign w:val="center"/>
          </w:tcPr>
          <w:p w14:paraId="162F373D">
            <w:pPr>
              <w:tabs>
                <w:tab w:val="left" w:pos="1290"/>
              </w:tabs>
              <w:snapToGrid w:val="0"/>
              <w:jc w:val="center"/>
              <w:rPr>
                <w:rFonts w:hint="eastAsia" w:ascii="黑体" w:hAnsi="黑体" w:eastAsia="黑体"/>
                <w:szCs w:val="21"/>
                <w:lang w:val="zh-CN"/>
              </w:rPr>
            </w:pPr>
            <w:r>
              <w:rPr>
                <w:rFonts w:hint="eastAsia" w:ascii="黑体" w:hAnsi="黑体" w:eastAsia="黑体"/>
                <w:szCs w:val="21"/>
                <w:lang w:val="zh-CN"/>
              </w:rPr>
              <w:t>标准物质要求</w:t>
            </w:r>
          </w:p>
        </w:tc>
      </w:tr>
      <w:tr w14:paraId="52AEA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3" w:hRule="atLeast"/>
        </w:trPr>
        <w:tc>
          <w:tcPr>
            <w:tcW w:w="1261" w:type="dxa"/>
            <w:vMerge w:val="continue"/>
            <w:vAlign w:val="center"/>
          </w:tcPr>
          <w:p w14:paraId="16406835">
            <w:pPr>
              <w:tabs>
                <w:tab w:val="left" w:pos="1290"/>
              </w:tabs>
              <w:snapToGrid w:val="0"/>
              <w:jc w:val="center"/>
              <w:rPr>
                <w:rFonts w:hint="eastAsia" w:ascii="黑体" w:hAnsi="黑体" w:eastAsia="黑体"/>
                <w:szCs w:val="21"/>
                <w:lang w:val="zh-CN"/>
              </w:rPr>
            </w:pPr>
          </w:p>
        </w:tc>
        <w:tc>
          <w:tcPr>
            <w:tcW w:w="2126" w:type="dxa"/>
            <w:vMerge w:val="continue"/>
            <w:vAlign w:val="center"/>
          </w:tcPr>
          <w:p w14:paraId="3FEA824F">
            <w:pPr>
              <w:tabs>
                <w:tab w:val="left" w:pos="1290"/>
              </w:tabs>
              <w:snapToGrid w:val="0"/>
              <w:jc w:val="center"/>
              <w:rPr>
                <w:rFonts w:hint="eastAsia" w:ascii="黑体" w:hAnsi="黑体" w:eastAsia="黑体"/>
                <w:szCs w:val="21"/>
                <w:lang w:val="zh-CN"/>
              </w:rPr>
            </w:pPr>
          </w:p>
        </w:tc>
        <w:tc>
          <w:tcPr>
            <w:tcW w:w="2127" w:type="dxa"/>
            <w:vAlign w:val="center"/>
          </w:tcPr>
          <w:p w14:paraId="2295EE5D">
            <w:pPr>
              <w:tabs>
                <w:tab w:val="left" w:pos="1290"/>
              </w:tabs>
              <w:snapToGrid w:val="0"/>
              <w:jc w:val="center"/>
              <w:rPr>
                <w:rFonts w:hint="eastAsia" w:ascii="黑体" w:hAnsi="黑体" w:eastAsia="黑体"/>
                <w:szCs w:val="21"/>
                <w:lang w:val="zh-CN"/>
              </w:rPr>
            </w:pPr>
            <w:r>
              <w:rPr>
                <w:rFonts w:hint="eastAsia" w:ascii="黑体" w:hAnsi="黑体" w:eastAsia="黑体"/>
                <w:szCs w:val="21"/>
                <w:lang w:val="zh-CN"/>
              </w:rPr>
              <w:t>适用范围</w:t>
            </w:r>
          </w:p>
        </w:tc>
        <w:tc>
          <w:tcPr>
            <w:tcW w:w="3402" w:type="dxa"/>
            <w:vAlign w:val="center"/>
          </w:tcPr>
          <w:p w14:paraId="6CE61B35">
            <w:pPr>
              <w:tabs>
                <w:tab w:val="left" w:pos="1290"/>
              </w:tabs>
              <w:snapToGrid w:val="0"/>
              <w:jc w:val="center"/>
              <w:rPr>
                <w:rFonts w:hint="eastAsia" w:ascii="黑体" w:hAnsi="黑体" w:eastAsia="黑体"/>
                <w:szCs w:val="21"/>
                <w:lang w:val="zh-CN"/>
              </w:rPr>
            </w:pPr>
            <w:r>
              <w:rPr>
                <w:rFonts w:hint="eastAsia" w:ascii="黑体" w:hAnsi="黑体" w:eastAsia="黑体"/>
                <w:szCs w:val="21"/>
                <w:lang w:val="zh-CN"/>
              </w:rPr>
              <w:t>不确定度</w:t>
            </w:r>
          </w:p>
        </w:tc>
      </w:tr>
      <w:tr w14:paraId="0F488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6" w:hRule="atLeast"/>
        </w:trPr>
        <w:tc>
          <w:tcPr>
            <w:tcW w:w="1261" w:type="dxa"/>
            <w:vAlign w:val="center"/>
          </w:tcPr>
          <w:p w14:paraId="00EC919E">
            <w:pPr>
              <w:tabs>
                <w:tab w:val="left" w:pos="1290"/>
              </w:tabs>
              <w:snapToGrid w:val="0"/>
              <w:jc w:val="center"/>
              <w:rPr>
                <w:rFonts w:hint="eastAsia" w:ascii="黑体" w:hAnsi="黑体" w:eastAsia="黑体"/>
                <w:szCs w:val="21"/>
              </w:rPr>
            </w:pPr>
            <w:r>
              <w:rPr>
                <w:rFonts w:hint="eastAsia" w:ascii="黑体" w:hAnsi="黑体" w:eastAsia="黑体"/>
                <w:szCs w:val="21"/>
              </w:rPr>
              <w:t>厚度</w:t>
            </w:r>
          </w:p>
        </w:tc>
        <w:tc>
          <w:tcPr>
            <w:tcW w:w="2126" w:type="dxa"/>
            <w:vAlign w:val="center"/>
          </w:tcPr>
          <w:p w14:paraId="0E9AFE84">
            <w:pPr>
              <w:tabs>
                <w:tab w:val="left" w:pos="1290"/>
              </w:tabs>
              <w:snapToGrid w:val="0"/>
              <w:jc w:val="center"/>
              <w:rPr>
                <w:szCs w:val="21"/>
                <w:lang w:val="zh-CN"/>
              </w:rPr>
            </w:pPr>
            <w:r>
              <w:rPr>
                <w:rFonts w:hint="eastAsia"/>
                <w:szCs w:val="21"/>
                <w:lang w:val="zh-CN"/>
              </w:rPr>
              <w:t>台阶高度标准物质</w:t>
            </w:r>
          </w:p>
        </w:tc>
        <w:tc>
          <w:tcPr>
            <w:tcW w:w="2127" w:type="dxa"/>
            <w:vAlign w:val="center"/>
          </w:tcPr>
          <w:p w14:paraId="6B22D68F">
            <w:pPr>
              <w:tabs>
                <w:tab w:val="left" w:pos="1290"/>
              </w:tabs>
              <w:snapToGrid w:val="0"/>
              <w:jc w:val="center"/>
              <w:rPr>
                <w:szCs w:val="21"/>
                <w:lang w:val="zh-CN"/>
              </w:rPr>
            </w:pPr>
            <w:r>
              <w:rPr>
                <w:rFonts w:hint="eastAsia"/>
                <w:szCs w:val="21"/>
              </w:rPr>
              <w:t>台阶高度在（0</w:t>
            </w:r>
            <w:r>
              <w:rPr>
                <w:szCs w:val="21"/>
              </w:rPr>
              <w:t>.3-5.0</w:t>
            </w:r>
            <w:r>
              <w:rPr>
                <w:rFonts w:hint="eastAsia"/>
                <w:szCs w:val="21"/>
              </w:rPr>
              <w:t>）nm范围</w:t>
            </w:r>
          </w:p>
        </w:tc>
        <w:tc>
          <w:tcPr>
            <w:tcW w:w="3402" w:type="dxa"/>
            <w:vAlign w:val="center"/>
          </w:tcPr>
          <w:p w14:paraId="3416F134">
            <w:pPr>
              <w:tabs>
                <w:tab w:val="left" w:pos="1290"/>
              </w:tabs>
              <w:snapToGrid w:val="0"/>
              <w:jc w:val="left"/>
              <w:rPr>
                <w:szCs w:val="21"/>
                <w:lang w:val="zh-CN"/>
              </w:rPr>
            </w:pPr>
            <w:r>
              <w:rPr>
                <w:rFonts w:hint="eastAsia"/>
                <w:szCs w:val="21"/>
                <w:lang w:val="zh-CN"/>
              </w:rPr>
              <w:t>单原子台阶高度标准物质相对扩展不确定度优于45</w:t>
            </w:r>
            <w:r>
              <w:rPr>
                <w:szCs w:val="21"/>
                <w:lang w:val="zh-CN"/>
              </w:rPr>
              <w:t>%（</w:t>
            </w:r>
            <w:r>
              <w:rPr>
                <w:i/>
                <w:szCs w:val="21"/>
                <w:lang w:val="zh-CN"/>
              </w:rPr>
              <w:t>k</w:t>
            </w:r>
            <w:r>
              <w:rPr>
                <w:szCs w:val="21"/>
                <w:lang w:val="zh-CN"/>
              </w:rPr>
              <w:t>=2）</w:t>
            </w:r>
            <w:r>
              <w:rPr>
                <w:rFonts w:hint="eastAsia"/>
                <w:szCs w:val="21"/>
                <w:lang w:val="zh-CN"/>
              </w:rPr>
              <w:t>；</w:t>
            </w:r>
          </w:p>
          <w:p w14:paraId="328E11AA">
            <w:pPr>
              <w:tabs>
                <w:tab w:val="left" w:pos="1290"/>
              </w:tabs>
              <w:snapToGrid w:val="0"/>
              <w:jc w:val="left"/>
              <w:rPr>
                <w:szCs w:val="21"/>
                <w:lang w:val="zh-CN"/>
              </w:rPr>
            </w:pPr>
            <w:r>
              <w:rPr>
                <w:rFonts w:hint="eastAsia"/>
                <w:szCs w:val="21"/>
                <w:lang w:val="zh-CN"/>
              </w:rPr>
              <w:t>5</w:t>
            </w:r>
            <w:r>
              <w:rPr>
                <w:szCs w:val="21"/>
                <w:lang w:val="zh-CN"/>
              </w:rPr>
              <w:t xml:space="preserve"> </w:t>
            </w:r>
            <w:r>
              <w:rPr>
                <w:rFonts w:hint="eastAsia"/>
                <w:szCs w:val="21"/>
                <w:lang w:val="zh-CN"/>
              </w:rPr>
              <w:t>nm台阶高度标准物质相对标准不确定度优于2</w:t>
            </w:r>
            <w:r>
              <w:rPr>
                <w:szCs w:val="21"/>
                <w:lang w:val="zh-CN"/>
              </w:rPr>
              <w:t>0%（</w:t>
            </w:r>
            <w:r>
              <w:rPr>
                <w:i/>
                <w:szCs w:val="21"/>
                <w:lang w:val="zh-CN"/>
              </w:rPr>
              <w:t>k</w:t>
            </w:r>
            <w:r>
              <w:rPr>
                <w:szCs w:val="21"/>
                <w:lang w:val="zh-CN"/>
              </w:rPr>
              <w:t>=2）</w:t>
            </w:r>
          </w:p>
        </w:tc>
      </w:tr>
      <w:tr w14:paraId="32388E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61" w:type="dxa"/>
            <w:vAlign w:val="center"/>
          </w:tcPr>
          <w:p w14:paraId="6B29F803">
            <w:pPr>
              <w:tabs>
                <w:tab w:val="left" w:pos="1290"/>
              </w:tabs>
              <w:snapToGrid w:val="0"/>
              <w:jc w:val="center"/>
              <w:rPr>
                <w:rFonts w:hint="eastAsia" w:ascii="黑体" w:hAnsi="黑体" w:eastAsia="黑体"/>
                <w:szCs w:val="21"/>
              </w:rPr>
            </w:pPr>
            <w:r>
              <w:rPr>
                <w:rFonts w:hint="eastAsia" w:ascii="黑体" w:hAnsi="黑体" w:eastAsia="黑体"/>
                <w:szCs w:val="21"/>
              </w:rPr>
              <w:t>碳氧比</w:t>
            </w:r>
          </w:p>
        </w:tc>
        <w:tc>
          <w:tcPr>
            <w:tcW w:w="2126" w:type="dxa"/>
            <w:vAlign w:val="center"/>
          </w:tcPr>
          <w:p w14:paraId="5198FE35">
            <w:pPr>
              <w:tabs>
                <w:tab w:val="left" w:pos="1290"/>
              </w:tabs>
              <w:snapToGrid w:val="0"/>
              <w:jc w:val="center"/>
              <w:rPr>
                <w:szCs w:val="21"/>
              </w:rPr>
            </w:pPr>
            <w:r>
              <w:rPr>
                <w:rFonts w:hint="eastAsia"/>
                <w:szCs w:val="21"/>
              </w:rPr>
              <w:t>X射线光电子能谱仪能量标度标准物质</w:t>
            </w:r>
          </w:p>
          <w:p w14:paraId="433A2508">
            <w:pPr>
              <w:tabs>
                <w:tab w:val="left" w:pos="1290"/>
              </w:tabs>
              <w:snapToGrid w:val="0"/>
              <w:jc w:val="center"/>
              <w:rPr>
                <w:szCs w:val="21"/>
              </w:rPr>
            </w:pPr>
            <w:r>
              <w:rPr>
                <w:rFonts w:hint="eastAsia"/>
                <w:szCs w:val="21"/>
              </w:rPr>
              <w:t>GBW（E）130545、</w:t>
            </w:r>
          </w:p>
          <w:p w14:paraId="441C7C9B">
            <w:pPr>
              <w:tabs>
                <w:tab w:val="left" w:pos="1290"/>
              </w:tabs>
              <w:snapToGrid w:val="0"/>
              <w:jc w:val="center"/>
              <w:rPr>
                <w:szCs w:val="21"/>
              </w:rPr>
            </w:pPr>
            <w:r>
              <w:rPr>
                <w:rFonts w:hint="eastAsia"/>
                <w:szCs w:val="21"/>
              </w:rPr>
              <w:t>130546、130547</w:t>
            </w:r>
          </w:p>
        </w:tc>
        <w:tc>
          <w:tcPr>
            <w:tcW w:w="2127" w:type="dxa"/>
            <w:vAlign w:val="center"/>
          </w:tcPr>
          <w:p w14:paraId="13E52758">
            <w:pPr>
              <w:tabs>
                <w:tab w:val="left" w:pos="1290"/>
              </w:tabs>
              <w:snapToGrid w:val="0"/>
              <w:jc w:val="center"/>
              <w:rPr>
                <w:szCs w:val="21"/>
              </w:rPr>
            </w:pPr>
            <w:r>
              <w:rPr>
                <w:rFonts w:hint="eastAsia"/>
                <w:szCs w:val="21"/>
              </w:rPr>
              <w:t>结合能在（10</w:t>
            </w:r>
            <w:r>
              <w:rPr>
                <w:szCs w:val="21"/>
              </w:rPr>
              <w:t>-</w:t>
            </w:r>
            <w:r>
              <w:rPr>
                <w:rFonts w:hint="eastAsia"/>
                <w:szCs w:val="21"/>
              </w:rPr>
              <w:t>1000）eV范围</w:t>
            </w:r>
          </w:p>
        </w:tc>
        <w:tc>
          <w:tcPr>
            <w:tcW w:w="3402" w:type="dxa"/>
            <w:vAlign w:val="center"/>
          </w:tcPr>
          <w:p w14:paraId="02FD1548">
            <w:pPr>
              <w:tabs>
                <w:tab w:val="left" w:pos="1290"/>
              </w:tabs>
              <w:snapToGrid w:val="0"/>
              <w:jc w:val="left"/>
              <w:rPr>
                <w:szCs w:val="21"/>
              </w:rPr>
            </w:pPr>
            <w:r>
              <w:rPr>
                <w:rFonts w:hint="eastAsia"/>
                <w:szCs w:val="21"/>
              </w:rPr>
              <w:t>Au 4f</w:t>
            </w:r>
            <w:r>
              <w:rPr>
                <w:rFonts w:hint="eastAsia"/>
                <w:szCs w:val="21"/>
                <w:vertAlign w:val="superscript"/>
              </w:rPr>
              <w:t>7/2</w:t>
            </w:r>
            <w:r>
              <w:rPr>
                <w:rFonts w:hint="eastAsia"/>
                <w:szCs w:val="21"/>
              </w:rPr>
              <w:t>峰位结合能84.00eV，U=0.10eV </w:t>
            </w:r>
          </w:p>
          <w:p w14:paraId="21BA9CE4">
            <w:pPr>
              <w:tabs>
                <w:tab w:val="left" w:pos="1290"/>
              </w:tabs>
              <w:snapToGrid w:val="0"/>
              <w:jc w:val="left"/>
              <w:rPr>
                <w:szCs w:val="21"/>
              </w:rPr>
            </w:pPr>
            <w:r>
              <w:rPr>
                <w:rFonts w:hint="eastAsia"/>
                <w:szCs w:val="21"/>
              </w:rPr>
              <w:t>Ag 3d</w:t>
            </w:r>
            <w:r>
              <w:rPr>
                <w:rFonts w:hint="eastAsia"/>
                <w:szCs w:val="21"/>
                <w:vertAlign w:val="superscript"/>
              </w:rPr>
              <w:t>5/2</w:t>
            </w:r>
            <w:r>
              <w:rPr>
                <w:rFonts w:hint="eastAsia"/>
                <w:szCs w:val="21"/>
              </w:rPr>
              <w:t>峰位结合能368.30eV，U=0.10eV :</w:t>
            </w:r>
          </w:p>
          <w:p w14:paraId="5923170F">
            <w:pPr>
              <w:tabs>
                <w:tab w:val="left" w:pos="1290"/>
              </w:tabs>
              <w:snapToGrid w:val="0"/>
              <w:jc w:val="left"/>
              <w:rPr>
                <w:szCs w:val="21"/>
              </w:rPr>
            </w:pPr>
            <w:r>
              <w:rPr>
                <w:rFonts w:hint="eastAsia"/>
                <w:szCs w:val="21"/>
              </w:rPr>
              <w:t>Cu2p</w:t>
            </w:r>
            <w:r>
              <w:rPr>
                <w:rFonts w:hint="eastAsia"/>
                <w:szCs w:val="21"/>
                <w:vertAlign w:val="superscript"/>
              </w:rPr>
              <w:t>3/2</w:t>
            </w:r>
            <w:r>
              <w:rPr>
                <w:rFonts w:hint="eastAsia"/>
                <w:szCs w:val="21"/>
              </w:rPr>
              <w:t>峰位结合能932.70eV，U=0.10eV</w:t>
            </w:r>
          </w:p>
        </w:tc>
      </w:tr>
      <w:tr w14:paraId="555DD1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61" w:type="dxa"/>
            <w:vAlign w:val="center"/>
          </w:tcPr>
          <w:p w14:paraId="76C6222C">
            <w:pPr>
              <w:tabs>
                <w:tab w:val="left" w:pos="1290"/>
              </w:tabs>
              <w:snapToGrid w:val="0"/>
              <w:jc w:val="center"/>
              <w:rPr>
                <w:rFonts w:hint="eastAsia" w:ascii="黑体" w:hAnsi="黑体" w:eastAsia="黑体"/>
                <w:szCs w:val="21"/>
              </w:rPr>
            </w:pPr>
            <w:r>
              <w:rPr>
                <w:rFonts w:hint="eastAsia" w:ascii="黑体" w:hAnsi="黑体" w:eastAsia="黑体"/>
                <w:szCs w:val="21"/>
              </w:rPr>
              <w:t>pH值</w:t>
            </w:r>
          </w:p>
        </w:tc>
        <w:tc>
          <w:tcPr>
            <w:tcW w:w="2126" w:type="dxa"/>
            <w:vAlign w:val="center"/>
          </w:tcPr>
          <w:p w14:paraId="061EB0C1">
            <w:pPr>
              <w:tabs>
                <w:tab w:val="left" w:pos="1290"/>
              </w:tabs>
              <w:snapToGrid w:val="0"/>
              <w:jc w:val="center"/>
              <w:rPr>
                <w:szCs w:val="21"/>
              </w:rPr>
            </w:pPr>
            <w:r>
              <w:rPr>
                <w:szCs w:val="21"/>
              </w:rPr>
              <w:t>土壤</w:t>
            </w:r>
            <w:r>
              <w:rPr>
                <w:rFonts w:hint="eastAsia"/>
                <w:szCs w:val="21"/>
              </w:rPr>
              <w:t>p</w:t>
            </w:r>
            <w:r>
              <w:rPr>
                <w:szCs w:val="21"/>
              </w:rPr>
              <w:t>H值分析</w:t>
            </w:r>
          </w:p>
          <w:p w14:paraId="3AB771B4">
            <w:pPr>
              <w:tabs>
                <w:tab w:val="left" w:pos="1290"/>
              </w:tabs>
              <w:snapToGrid w:val="0"/>
              <w:jc w:val="center"/>
              <w:rPr>
                <w:szCs w:val="21"/>
              </w:rPr>
            </w:pPr>
            <w:r>
              <w:rPr>
                <w:szCs w:val="21"/>
              </w:rPr>
              <w:t>标准物质</w:t>
            </w:r>
          </w:p>
          <w:p w14:paraId="2A19F8A2">
            <w:pPr>
              <w:tabs>
                <w:tab w:val="left" w:pos="1290"/>
              </w:tabs>
              <w:snapToGrid w:val="0"/>
              <w:jc w:val="center"/>
              <w:rPr>
                <w:szCs w:val="21"/>
              </w:rPr>
            </w:pPr>
            <w:r>
              <w:rPr>
                <w:szCs w:val="21"/>
              </w:rPr>
              <w:t>GBW07987(GpH-1)</w:t>
            </w:r>
          </w:p>
        </w:tc>
        <w:tc>
          <w:tcPr>
            <w:tcW w:w="2127" w:type="dxa"/>
            <w:vAlign w:val="center"/>
          </w:tcPr>
          <w:p w14:paraId="41642210">
            <w:pPr>
              <w:tabs>
                <w:tab w:val="left" w:pos="1290"/>
              </w:tabs>
              <w:snapToGrid w:val="0"/>
              <w:jc w:val="center"/>
              <w:rPr>
                <w:szCs w:val="21"/>
              </w:rPr>
            </w:pPr>
            <w:r>
              <w:rPr>
                <w:rFonts w:hint="eastAsia"/>
                <w:szCs w:val="21"/>
              </w:rPr>
              <w:t>6.67</w:t>
            </w:r>
          </w:p>
        </w:tc>
        <w:tc>
          <w:tcPr>
            <w:tcW w:w="3402" w:type="dxa"/>
            <w:vAlign w:val="center"/>
          </w:tcPr>
          <w:p w14:paraId="397B9708">
            <w:pPr>
              <w:tabs>
                <w:tab w:val="left" w:pos="1290"/>
              </w:tabs>
              <w:snapToGrid w:val="0"/>
              <w:jc w:val="center"/>
              <w:rPr>
                <w:szCs w:val="21"/>
                <w:lang w:val="zh-CN"/>
              </w:rPr>
            </w:pPr>
            <w:r>
              <w:rPr>
                <w:rFonts w:hint="eastAsia"/>
                <w:szCs w:val="21"/>
                <w:lang w:val="zh-CN"/>
              </w:rPr>
              <w:t>0.09</w:t>
            </w:r>
          </w:p>
        </w:tc>
      </w:tr>
      <w:tr w14:paraId="1DFC65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61" w:type="dxa"/>
            <w:vAlign w:val="center"/>
          </w:tcPr>
          <w:p w14:paraId="0F4BAFA5">
            <w:pPr>
              <w:tabs>
                <w:tab w:val="left" w:pos="1290"/>
              </w:tabs>
              <w:snapToGrid w:val="0"/>
              <w:jc w:val="center"/>
              <w:rPr>
                <w:rFonts w:hint="eastAsia" w:ascii="黑体" w:hAnsi="黑体" w:eastAsia="黑体"/>
                <w:szCs w:val="21"/>
              </w:rPr>
            </w:pPr>
            <w:r>
              <w:rPr>
                <w:rFonts w:hint="eastAsia" w:ascii="黑体" w:hAnsi="黑体" w:eastAsia="黑体"/>
                <w:szCs w:val="21"/>
              </w:rPr>
              <w:t>黏度</w:t>
            </w:r>
          </w:p>
        </w:tc>
        <w:tc>
          <w:tcPr>
            <w:tcW w:w="2126" w:type="dxa"/>
            <w:vAlign w:val="center"/>
          </w:tcPr>
          <w:p w14:paraId="65CAF1D6">
            <w:pPr>
              <w:tabs>
                <w:tab w:val="left" w:pos="1290"/>
              </w:tabs>
              <w:snapToGrid w:val="0"/>
              <w:jc w:val="center"/>
              <w:rPr>
                <w:szCs w:val="21"/>
              </w:rPr>
            </w:pPr>
            <w:r>
              <w:rPr>
                <w:rFonts w:hint="eastAsia"/>
                <w:szCs w:val="21"/>
              </w:rPr>
              <w:t>黏度标准物质</w:t>
            </w:r>
          </w:p>
          <w:p w14:paraId="659E0C07">
            <w:pPr>
              <w:tabs>
                <w:tab w:val="left" w:pos="1290"/>
              </w:tabs>
              <w:snapToGrid w:val="0"/>
              <w:jc w:val="center"/>
              <w:rPr>
                <w:szCs w:val="21"/>
                <w:lang w:val="zh-CN"/>
              </w:rPr>
            </w:pPr>
            <w:r>
              <w:fldChar w:fldCharType="begin"/>
            </w:r>
            <w:r>
              <w:instrText xml:space="preserve"> HYPERLINK "https://www.ncrm.org.cn/Web/Ordering/MaterialDetail?autoID=37941" </w:instrText>
            </w:r>
            <w:r>
              <w:fldChar w:fldCharType="separate"/>
            </w:r>
            <w:r>
              <w:rPr>
                <w:rStyle w:val="24"/>
                <w:rFonts w:hint="eastAsia"/>
                <w:color w:val="000000" w:themeColor="text1"/>
                <w:szCs w:val="21"/>
                <w14:textFill>
                  <w14:solidFill>
                    <w14:schemeClr w14:val="tx1"/>
                  </w14:solidFill>
                </w14:textFill>
              </w:rPr>
              <w:t>GBW13691</w:t>
            </w:r>
            <w:r>
              <w:rPr>
                <w:rStyle w:val="24"/>
                <w:rFonts w:hint="eastAsia"/>
                <w:color w:val="000000" w:themeColor="text1"/>
                <w:szCs w:val="21"/>
                <w14:textFill>
                  <w14:solidFill>
                    <w14:schemeClr w14:val="tx1"/>
                  </w14:solidFill>
                </w14:textFill>
              </w:rPr>
              <w:fldChar w:fldCharType="end"/>
            </w:r>
          </w:p>
        </w:tc>
        <w:tc>
          <w:tcPr>
            <w:tcW w:w="2127" w:type="dxa"/>
            <w:vAlign w:val="center"/>
          </w:tcPr>
          <w:p w14:paraId="7B40667E">
            <w:pPr>
              <w:tabs>
                <w:tab w:val="left" w:pos="1290"/>
              </w:tabs>
              <w:snapToGrid w:val="0"/>
              <w:jc w:val="center"/>
              <w:rPr>
                <w:szCs w:val="21"/>
              </w:rPr>
            </w:pPr>
            <w:r>
              <w:rPr>
                <w:rFonts w:hint="eastAsia"/>
                <w:szCs w:val="21"/>
              </w:rPr>
              <w:t>运动黏度量值在（3.5×10</w:t>
            </w:r>
            <w:r>
              <w:rPr>
                <w:rFonts w:hint="eastAsia"/>
                <w:szCs w:val="21"/>
                <w:vertAlign w:val="superscript"/>
              </w:rPr>
              <w:t>4</w:t>
            </w:r>
            <w:r>
              <w:rPr>
                <w:rFonts w:hint="eastAsia"/>
                <w:szCs w:val="21"/>
              </w:rPr>
              <w:t>~ 5.0×10</w:t>
            </w:r>
            <w:r>
              <w:rPr>
                <w:rFonts w:hint="eastAsia"/>
                <w:szCs w:val="21"/>
                <w:vertAlign w:val="superscript"/>
              </w:rPr>
              <w:t>5</w:t>
            </w:r>
            <w:r>
              <w:rPr>
                <w:rFonts w:hint="eastAsia"/>
                <w:szCs w:val="21"/>
              </w:rPr>
              <w:t>）mm</w:t>
            </w:r>
            <w:r>
              <w:rPr>
                <w:rFonts w:hint="eastAsia"/>
                <w:szCs w:val="21"/>
                <w:vertAlign w:val="superscript"/>
              </w:rPr>
              <w:t>2</w:t>
            </w:r>
            <w:r>
              <w:rPr>
                <w:rFonts w:hint="eastAsia"/>
                <w:szCs w:val="21"/>
              </w:rPr>
              <w:t>/s范围</w:t>
            </w:r>
          </w:p>
        </w:tc>
        <w:tc>
          <w:tcPr>
            <w:tcW w:w="3402" w:type="dxa"/>
            <w:vAlign w:val="center"/>
          </w:tcPr>
          <w:p w14:paraId="70A8FCF0">
            <w:pPr>
              <w:tabs>
                <w:tab w:val="left" w:pos="1290"/>
              </w:tabs>
              <w:snapToGrid w:val="0"/>
              <w:jc w:val="center"/>
              <w:rPr>
                <w:szCs w:val="21"/>
              </w:rPr>
            </w:pPr>
            <w:r>
              <w:rPr>
                <w:rFonts w:hint="eastAsia"/>
                <w:szCs w:val="21"/>
              </w:rPr>
              <w:t>（0.56~0.58）%</w:t>
            </w:r>
          </w:p>
        </w:tc>
      </w:tr>
    </w:tbl>
    <w:p w14:paraId="7801B58E">
      <w:pPr>
        <w:pStyle w:val="2"/>
        <w:spacing w:before="360" w:after="120" w:line="360" w:lineRule="auto"/>
        <w:rPr>
          <w:rFonts w:hint="eastAsia" w:ascii="黑体" w:hAnsi="黑体" w:eastAsia="黑体"/>
          <w:b w:val="0"/>
          <w:bCs w:val="0"/>
          <w:color w:val="000000" w:themeColor="text1"/>
          <w:sz w:val="24"/>
          <w:szCs w:val="20"/>
          <w14:textFill>
            <w14:solidFill>
              <w14:schemeClr w14:val="tx1"/>
            </w14:solidFill>
          </w14:textFill>
        </w:rPr>
      </w:pPr>
      <w:bookmarkStart w:id="35" w:name="_Toc196929260"/>
      <w:r>
        <w:rPr>
          <w:rFonts w:ascii="黑体" w:hAnsi="黑体" w:eastAsia="黑体"/>
          <w:b w:val="0"/>
          <w:bCs w:val="0"/>
          <w:color w:val="000000" w:themeColor="text1"/>
          <w:sz w:val="24"/>
          <w:szCs w:val="20"/>
          <w14:textFill>
            <w14:solidFill>
              <w14:schemeClr w14:val="tx1"/>
            </w14:solidFill>
          </w14:textFill>
        </w:rPr>
        <w:t>7</w:t>
      </w:r>
      <w:r>
        <w:rPr>
          <w:rFonts w:hint="eastAsia" w:ascii="黑体" w:hAnsi="黑体" w:eastAsia="黑体"/>
          <w:b w:val="0"/>
          <w:bCs w:val="0"/>
          <w:color w:val="000000" w:themeColor="text1"/>
          <w:sz w:val="24"/>
          <w:szCs w:val="20"/>
          <w14:textFill>
            <w14:solidFill>
              <w14:schemeClr w14:val="tx1"/>
            </w14:solidFill>
          </w14:textFill>
        </w:rPr>
        <w:t xml:space="preserve"> 测量项目和测量方法</w:t>
      </w:r>
      <w:bookmarkEnd w:id="30"/>
      <w:bookmarkEnd w:id="31"/>
      <w:bookmarkEnd w:id="32"/>
      <w:bookmarkEnd w:id="35"/>
    </w:p>
    <w:p w14:paraId="2CDB0F2F">
      <w:pPr>
        <w:tabs>
          <w:tab w:val="left" w:pos="540"/>
        </w:tabs>
        <w:autoSpaceDE w:val="0"/>
        <w:autoSpaceDN w:val="0"/>
        <w:adjustRightInd w:val="0"/>
        <w:spacing w:before="120" w:beforeLines="50" w:line="360" w:lineRule="auto"/>
        <w:rPr>
          <w:rFonts w:ascii="黑体" w:hAnsi="黑体" w:eastAsia="黑体"/>
          <w:sz w:val="24"/>
        </w:rPr>
      </w:pPr>
      <w:r>
        <w:rPr>
          <w:rFonts w:hint="eastAsia" w:ascii="黑体" w:hAnsi="黑体" w:eastAsia="黑体"/>
          <w:sz w:val="24"/>
        </w:rPr>
        <w:t>7.1 浆料固含量</w:t>
      </w:r>
    </w:p>
    <w:p w14:paraId="6AE23751">
      <w:pPr>
        <w:spacing w:before="120" w:beforeLines="50" w:line="240" w:lineRule="atLeast"/>
        <w:ind w:firstLine="480" w:firstLineChars="200"/>
        <w:jc w:val="left"/>
        <w:rPr>
          <w:sz w:val="24"/>
        </w:rPr>
      </w:pPr>
      <w:r>
        <w:rPr>
          <w:rFonts w:hint="eastAsia"/>
          <w:sz w:val="24"/>
        </w:rPr>
        <w:t>石墨烯浆料固含量测试方法按GB/T 1725规定的方法进行测定。</w:t>
      </w:r>
    </w:p>
    <w:p w14:paraId="037115F1">
      <w:pPr>
        <w:spacing w:before="120" w:beforeLines="50" w:line="240" w:lineRule="atLeast"/>
        <w:ind w:firstLine="480" w:firstLineChars="200"/>
        <w:jc w:val="left"/>
        <w:rPr>
          <w:sz w:val="24"/>
        </w:rPr>
      </w:pPr>
      <w:r>
        <w:rPr>
          <w:rFonts w:hint="eastAsia"/>
          <w:sz w:val="24"/>
        </w:rPr>
        <w:t>称取10g氧化石墨烯滤饼，放入玻璃烧杯中，并置于80℃烘箱内，4小时后每隔1小时取出称量至质量无变化，计算固含量。</w:t>
      </w:r>
    </w:p>
    <w:p w14:paraId="54B846C5">
      <w:pPr>
        <w:tabs>
          <w:tab w:val="left" w:pos="540"/>
        </w:tabs>
        <w:autoSpaceDE w:val="0"/>
        <w:autoSpaceDN w:val="0"/>
        <w:adjustRightInd w:val="0"/>
        <w:spacing w:before="120" w:beforeLines="50" w:line="360" w:lineRule="auto"/>
        <w:rPr>
          <w:rFonts w:ascii="黑体" w:hAnsi="黑体" w:eastAsia="黑体"/>
          <w:sz w:val="24"/>
        </w:rPr>
      </w:pPr>
      <w:r>
        <w:rPr>
          <w:rFonts w:hint="eastAsia" w:ascii="黑体" w:hAnsi="黑体" w:eastAsia="黑体"/>
          <w:sz w:val="24"/>
        </w:rPr>
        <w:t>7.2 浆料pH值</w:t>
      </w:r>
    </w:p>
    <w:p w14:paraId="3C7FE575">
      <w:pPr>
        <w:spacing w:before="120" w:beforeLines="50"/>
        <w:ind w:firstLine="480" w:firstLineChars="200"/>
        <w:jc w:val="left"/>
        <w:rPr>
          <w:sz w:val="24"/>
        </w:rPr>
      </w:pPr>
      <w:r>
        <w:rPr>
          <w:rFonts w:hint="eastAsia"/>
          <w:sz w:val="24"/>
        </w:rPr>
        <w:t>将氧化石墨烯浆料配制为浓度0.5wt％，按GB/T 9724规定的方法进行测定。</w:t>
      </w:r>
    </w:p>
    <w:p w14:paraId="12F1D3A9">
      <w:pPr>
        <w:tabs>
          <w:tab w:val="left" w:pos="540"/>
        </w:tabs>
        <w:autoSpaceDE w:val="0"/>
        <w:autoSpaceDN w:val="0"/>
        <w:adjustRightInd w:val="0"/>
        <w:spacing w:before="120" w:beforeLines="50" w:line="360" w:lineRule="auto"/>
        <w:rPr>
          <w:rFonts w:ascii="黑体" w:hAnsi="黑体" w:eastAsia="黑体"/>
          <w:sz w:val="24"/>
        </w:rPr>
      </w:pPr>
      <w:r>
        <w:rPr>
          <w:rFonts w:hint="eastAsia" w:ascii="黑体" w:hAnsi="黑体" w:eastAsia="黑体"/>
          <w:sz w:val="24"/>
        </w:rPr>
        <w:t>7.3 浆料黏度</w:t>
      </w:r>
    </w:p>
    <w:p w14:paraId="6251C698">
      <w:pPr>
        <w:spacing w:before="120" w:beforeLines="50"/>
        <w:ind w:firstLine="480" w:firstLineChars="200"/>
        <w:jc w:val="left"/>
        <w:rPr>
          <w:sz w:val="24"/>
        </w:rPr>
      </w:pPr>
      <w:r>
        <w:rPr>
          <w:rFonts w:hint="eastAsia"/>
          <w:sz w:val="24"/>
        </w:rPr>
        <w:t>氧化石墨烯浆料黏度测试方法按GB/T 22235规定的方法进行测定。</w:t>
      </w:r>
    </w:p>
    <w:p w14:paraId="00A76FF9">
      <w:pPr>
        <w:tabs>
          <w:tab w:val="left" w:pos="540"/>
        </w:tabs>
        <w:autoSpaceDE w:val="0"/>
        <w:autoSpaceDN w:val="0"/>
        <w:adjustRightInd w:val="0"/>
        <w:spacing w:before="120" w:beforeLines="50" w:line="360" w:lineRule="auto"/>
        <w:rPr>
          <w:rFonts w:ascii="黑体" w:hAnsi="黑体" w:eastAsia="黑体"/>
          <w:sz w:val="24"/>
        </w:rPr>
      </w:pPr>
      <w:r>
        <w:rPr>
          <w:rFonts w:hint="eastAsia" w:ascii="黑体" w:hAnsi="黑体" w:eastAsia="黑体"/>
          <w:sz w:val="24"/>
        </w:rPr>
        <w:t>7.4 浆料粒度</w:t>
      </w:r>
    </w:p>
    <w:p w14:paraId="327F5E5A">
      <w:pPr>
        <w:spacing w:before="120" w:beforeLines="50"/>
        <w:ind w:firstLine="480" w:firstLineChars="200"/>
        <w:jc w:val="left"/>
        <w:rPr>
          <w:sz w:val="24"/>
        </w:rPr>
      </w:pPr>
      <w:r>
        <w:rPr>
          <w:rFonts w:hint="eastAsia"/>
          <w:sz w:val="24"/>
        </w:rPr>
        <w:t>氧化石墨烯浆料粒度测试方法按GB/T 19077规定的方法进行测定。</w:t>
      </w:r>
    </w:p>
    <w:p w14:paraId="4E641178">
      <w:pPr>
        <w:tabs>
          <w:tab w:val="left" w:pos="540"/>
        </w:tabs>
        <w:autoSpaceDE w:val="0"/>
        <w:autoSpaceDN w:val="0"/>
        <w:adjustRightInd w:val="0"/>
        <w:spacing w:before="120" w:beforeLines="50" w:line="360" w:lineRule="auto"/>
        <w:rPr>
          <w:rFonts w:ascii="黑体" w:hAnsi="黑体" w:eastAsia="黑体"/>
          <w:sz w:val="24"/>
        </w:rPr>
      </w:pPr>
      <w:r>
        <w:rPr>
          <w:rFonts w:hint="eastAsia" w:ascii="黑体" w:hAnsi="黑体" w:eastAsia="黑体"/>
          <w:sz w:val="24"/>
        </w:rPr>
        <w:t>7.5 片径尺寸</w:t>
      </w:r>
    </w:p>
    <w:p w14:paraId="6FFF026E">
      <w:pPr>
        <w:spacing w:before="120" w:beforeLines="50" w:line="240" w:lineRule="atLeast"/>
        <w:ind w:firstLine="480" w:firstLineChars="200"/>
        <w:jc w:val="left"/>
        <w:rPr>
          <w:sz w:val="24"/>
        </w:rPr>
      </w:pPr>
      <w:r>
        <w:rPr>
          <w:rFonts w:hint="eastAsia"/>
          <w:sz w:val="24"/>
        </w:rPr>
        <w:t>对于不同片径尺寸范围的氧化石墨烯测试样品，可对应选择光学显微镜、扫描电子显微镜或7.1中原子力显微镜测量片径尺寸，并统计平均尺寸，测试样品片数量应不小于50片。</w:t>
      </w:r>
    </w:p>
    <w:p w14:paraId="6B9B1D9D">
      <w:pPr>
        <w:tabs>
          <w:tab w:val="left" w:pos="540"/>
        </w:tabs>
        <w:autoSpaceDE w:val="0"/>
        <w:autoSpaceDN w:val="0"/>
        <w:adjustRightInd w:val="0"/>
        <w:spacing w:before="240" w:beforeLines="100" w:line="360" w:lineRule="auto"/>
        <w:rPr>
          <w:rFonts w:ascii="黑体" w:hAnsi="黑体" w:eastAsia="黑体"/>
          <w:sz w:val="24"/>
        </w:rPr>
      </w:pPr>
      <w:r>
        <w:rPr>
          <w:rFonts w:hint="eastAsia" w:ascii="黑体" w:hAnsi="黑体" w:eastAsia="黑体"/>
          <w:sz w:val="24"/>
        </w:rPr>
        <w:t>7.6　原子力显微镜测厚度</w:t>
      </w:r>
    </w:p>
    <w:p w14:paraId="38CBF3B1">
      <w:pPr>
        <w:tabs>
          <w:tab w:val="left" w:pos="540"/>
        </w:tabs>
        <w:autoSpaceDE w:val="0"/>
        <w:autoSpaceDN w:val="0"/>
        <w:adjustRightInd w:val="0"/>
        <w:spacing w:before="120" w:beforeLines="50" w:after="120" w:afterLines="50" w:line="360" w:lineRule="auto"/>
        <w:rPr>
          <w:sz w:val="24"/>
        </w:rPr>
      </w:pPr>
      <w:r>
        <w:rPr>
          <w:rFonts w:hint="eastAsia"/>
          <w:sz w:val="24"/>
        </w:rPr>
        <w:t>7.6.1 原子力显微镜校准</w:t>
      </w:r>
    </w:p>
    <w:p w14:paraId="03509742">
      <w:pPr>
        <w:spacing w:before="120" w:beforeLines="50" w:line="240" w:lineRule="atLeast"/>
        <w:ind w:firstLine="480" w:firstLineChars="200"/>
        <w:jc w:val="left"/>
        <w:rPr>
          <w:sz w:val="24"/>
        </w:rPr>
      </w:pPr>
      <w:r>
        <w:rPr>
          <w:rFonts w:hint="eastAsia"/>
          <w:sz w:val="24"/>
        </w:rPr>
        <w:t>选择满足表2中台阶高度要求的有证标准物质，参照GB/T 27760，得到标准物质高度的测量值H</w:t>
      </w:r>
      <w:r>
        <w:rPr>
          <w:rFonts w:hint="eastAsia"/>
          <w:sz w:val="24"/>
          <w:vertAlign w:val="subscript"/>
        </w:rPr>
        <w:t>m</w:t>
      </w:r>
      <w:r>
        <w:rPr>
          <w:rFonts w:hint="eastAsia"/>
          <w:sz w:val="24"/>
        </w:rPr>
        <w:t>。计算H</w:t>
      </w:r>
      <w:r>
        <w:rPr>
          <w:rFonts w:hint="eastAsia"/>
          <w:sz w:val="24"/>
          <w:vertAlign w:val="subscript"/>
        </w:rPr>
        <w:t>m</w:t>
      </w:r>
      <w:r>
        <w:rPr>
          <w:rFonts w:hint="eastAsia"/>
          <w:sz w:val="24"/>
        </w:rPr>
        <w:t>与标准物质标准值H</w:t>
      </w:r>
      <w:r>
        <w:rPr>
          <w:rFonts w:hint="eastAsia"/>
          <w:sz w:val="24"/>
          <w:vertAlign w:val="subscript"/>
        </w:rPr>
        <w:t>c</w:t>
      </w:r>
      <w:r>
        <w:rPr>
          <w:rFonts w:hint="eastAsia"/>
          <w:sz w:val="24"/>
        </w:rPr>
        <w:t>的比值，得到原子力显微镜z方向上的校正比例因子R。</w:t>
      </w:r>
    </w:p>
    <w:p w14:paraId="45C77D2B">
      <w:pPr>
        <w:tabs>
          <w:tab w:val="left" w:pos="540"/>
        </w:tabs>
        <w:autoSpaceDE w:val="0"/>
        <w:autoSpaceDN w:val="0"/>
        <w:adjustRightInd w:val="0"/>
        <w:spacing w:before="240" w:beforeLines="100" w:after="120" w:afterLines="50" w:line="360" w:lineRule="auto"/>
        <w:rPr>
          <w:sz w:val="24"/>
        </w:rPr>
      </w:pPr>
      <w:r>
        <w:rPr>
          <w:rFonts w:hint="eastAsia"/>
          <w:sz w:val="24"/>
        </w:rPr>
        <w:t>7.6.2 测试样品制备</w:t>
      </w:r>
    </w:p>
    <w:p w14:paraId="1119AB53">
      <w:pPr>
        <w:spacing w:line="240" w:lineRule="atLeast"/>
        <w:ind w:firstLine="480" w:firstLineChars="200"/>
        <w:jc w:val="left"/>
        <w:rPr>
          <w:sz w:val="24"/>
        </w:rPr>
      </w:pPr>
      <w:r>
        <w:rPr>
          <w:rFonts w:hint="eastAsia"/>
          <w:sz w:val="24"/>
        </w:rPr>
        <w:t>取浆料50</w:t>
      </w:r>
      <w:r>
        <w:rPr>
          <w:sz w:val="24"/>
        </w:rPr>
        <w:t>μL</w:t>
      </w:r>
      <w:r>
        <w:rPr>
          <w:rFonts w:hint="eastAsia"/>
          <w:sz w:val="24"/>
        </w:rPr>
        <w:t>滴入10mL超纯水中进行稀释并超声分散均匀，视具体情况可改变稀释比例。将稀释后的分散液滴在新鲜云母片上，分散液通常会润湿并良好铺展，在干净环境下自然室温晾干。</w:t>
      </w:r>
    </w:p>
    <w:p w14:paraId="20CE4B52">
      <w:pPr>
        <w:spacing w:before="120" w:beforeLines="50" w:line="240" w:lineRule="atLeast"/>
        <w:ind w:firstLine="420" w:firstLineChars="200"/>
        <w:jc w:val="left"/>
        <w:rPr>
          <w:szCs w:val="21"/>
        </w:rPr>
      </w:pPr>
      <w:r>
        <w:rPr>
          <w:rFonts w:hint="eastAsia"/>
          <w:szCs w:val="21"/>
        </w:rPr>
        <w:t>注：确保所制备的样品能独立分散，片层之间无堆叠。片层堆叠的情况下可二次分散。</w:t>
      </w:r>
    </w:p>
    <w:p w14:paraId="252C5D29">
      <w:pPr>
        <w:tabs>
          <w:tab w:val="left" w:pos="540"/>
        </w:tabs>
        <w:autoSpaceDE w:val="0"/>
        <w:autoSpaceDN w:val="0"/>
        <w:adjustRightInd w:val="0"/>
        <w:spacing w:before="240" w:beforeLines="100" w:after="120" w:afterLines="50" w:line="360" w:lineRule="auto"/>
        <w:rPr>
          <w:sz w:val="24"/>
        </w:rPr>
      </w:pPr>
      <w:r>
        <w:rPr>
          <w:rFonts w:hint="eastAsia"/>
          <w:sz w:val="24"/>
        </w:rPr>
        <w:t>7.6.3 测试方法和数据处理</w:t>
      </w:r>
    </w:p>
    <w:p w14:paraId="31FEB59A">
      <w:pPr>
        <w:spacing w:before="120" w:beforeLines="50" w:line="240" w:lineRule="atLeast"/>
        <w:ind w:firstLine="480" w:firstLineChars="200"/>
        <w:jc w:val="left"/>
        <w:rPr>
          <w:sz w:val="24"/>
        </w:rPr>
      </w:pPr>
      <w:r>
        <w:rPr>
          <w:rFonts w:hint="eastAsia"/>
          <w:sz w:val="24"/>
        </w:rPr>
        <w:t>氧化石墨烯片层厚度测试方法按“石墨烯材料鉴定技术规范”规定的方法进行测定。</w:t>
      </w:r>
    </w:p>
    <w:p w14:paraId="6640E745">
      <w:pPr>
        <w:tabs>
          <w:tab w:val="left" w:pos="540"/>
        </w:tabs>
        <w:autoSpaceDE w:val="0"/>
        <w:autoSpaceDN w:val="0"/>
        <w:adjustRightInd w:val="0"/>
        <w:spacing w:before="240" w:beforeLines="100" w:after="120" w:afterLines="50" w:line="360" w:lineRule="auto"/>
        <w:rPr>
          <w:sz w:val="24"/>
        </w:rPr>
      </w:pPr>
      <w:bookmarkStart w:id="36" w:name="_Toc495244654"/>
      <w:bookmarkEnd w:id="36"/>
      <w:bookmarkStart w:id="37" w:name="_Toc495256101"/>
      <w:bookmarkEnd w:id="37"/>
      <w:r>
        <w:rPr>
          <w:rFonts w:hint="eastAsia"/>
          <w:sz w:val="24"/>
        </w:rPr>
        <w:t>7</w:t>
      </w:r>
      <w:r>
        <w:rPr>
          <w:sz w:val="24"/>
        </w:rPr>
        <w:t>.</w:t>
      </w:r>
      <w:r>
        <w:rPr>
          <w:rFonts w:hint="eastAsia"/>
          <w:sz w:val="24"/>
        </w:rPr>
        <w:t>6</w:t>
      </w:r>
      <w:r>
        <w:rPr>
          <w:sz w:val="24"/>
        </w:rPr>
        <w:t xml:space="preserve">.4 </w:t>
      </w:r>
      <w:r>
        <w:rPr>
          <w:rFonts w:hint="eastAsia"/>
          <w:sz w:val="24"/>
        </w:rPr>
        <w:t>不确定度分析</w:t>
      </w:r>
    </w:p>
    <w:p w14:paraId="4360E75C">
      <w:pPr>
        <w:tabs>
          <w:tab w:val="left" w:pos="540"/>
        </w:tabs>
        <w:autoSpaceDE w:val="0"/>
        <w:autoSpaceDN w:val="0"/>
        <w:adjustRightInd w:val="0"/>
        <w:spacing w:line="360" w:lineRule="auto"/>
        <w:ind w:firstLine="480" w:firstLineChars="200"/>
        <w:rPr>
          <w:sz w:val="24"/>
        </w:rPr>
      </w:pPr>
      <w:r>
        <w:rPr>
          <w:rFonts w:hint="eastAsia"/>
          <w:sz w:val="24"/>
        </w:rPr>
        <w:t>包括标准物质测量重复性引入的不确定度</w:t>
      </w:r>
      <m:oMath>
        <m:sSub>
          <m:sSubPr>
            <m:ctrlPr>
              <w:rPr>
                <w:rFonts w:ascii="Cambria Math" w:hAnsi="Cambria Math"/>
                <w:i/>
                <w:szCs w:val="21"/>
              </w:rPr>
            </m:ctrlPr>
          </m:sSubPr>
          <m:e>
            <m:r>
              <m:rPr/>
              <w:rPr>
                <w:rFonts w:ascii="Cambria Math" w:hAnsi="Cambria Math" w:eastAsiaTheme="minorEastAsia"/>
                <w:szCs w:val="21"/>
              </w:rPr>
              <m:t>u</m:t>
            </m:r>
            <m:ctrlPr>
              <w:rPr>
                <w:rFonts w:ascii="Cambria Math" w:hAnsi="Cambria Math"/>
                <w:i/>
                <w:szCs w:val="21"/>
              </w:rPr>
            </m:ctrlPr>
          </m:e>
          <m:sub>
            <m:r>
              <m:rPr/>
              <w:rPr>
                <w:rFonts w:ascii="Cambria Math" w:hAnsi="Cambria Math" w:eastAsiaTheme="minorEastAsia"/>
                <w:szCs w:val="21"/>
              </w:rPr>
              <m:t>H</m:t>
            </m:r>
            <m:r>
              <m:rPr/>
              <w:rPr>
                <w:rFonts w:hint="eastAsia" w:ascii="Cambria Math" w:hAnsi="Cambria Math" w:eastAsiaTheme="minorEastAsia"/>
                <w:szCs w:val="21"/>
              </w:rPr>
              <m:t>m</m:t>
            </m:r>
            <m:r>
              <m:rPr/>
              <w:rPr>
                <w:rFonts w:ascii="Cambria Math" w:hAnsi="Cambria Math" w:eastAsiaTheme="minorEastAsia"/>
                <w:szCs w:val="21"/>
              </w:rPr>
              <m:t>,rel</m:t>
            </m:r>
            <m:ctrlPr>
              <w:rPr>
                <w:rFonts w:ascii="Cambria Math" w:hAnsi="Cambria Math"/>
                <w:i/>
                <w:szCs w:val="21"/>
              </w:rPr>
            </m:ctrlPr>
          </m:sub>
        </m:sSub>
      </m:oMath>
      <w:r>
        <w:rPr>
          <w:rFonts w:hint="eastAsia"/>
          <w:sz w:val="24"/>
        </w:rPr>
        <w:t>、标准物质引入的不确定度</w:t>
      </w:r>
      <m:oMath>
        <m:sSub>
          <m:sSubPr>
            <m:ctrlPr>
              <w:rPr>
                <w:rFonts w:ascii="Cambria Math" w:hAnsi="Cambria Math"/>
                <w:i/>
                <w:szCs w:val="21"/>
              </w:rPr>
            </m:ctrlPr>
          </m:sSubPr>
          <m:e>
            <m:r>
              <m:rPr/>
              <w:rPr>
                <w:rFonts w:ascii="Cambria Math" w:hAnsi="Cambria Math" w:eastAsiaTheme="minorEastAsia"/>
                <w:szCs w:val="21"/>
              </w:rPr>
              <m:t>u</m:t>
            </m:r>
            <m:ctrlPr>
              <w:rPr>
                <w:rFonts w:ascii="Cambria Math" w:hAnsi="Cambria Math"/>
                <w:i/>
                <w:szCs w:val="21"/>
              </w:rPr>
            </m:ctrlPr>
          </m:e>
          <m:sub>
            <m:r>
              <m:rPr/>
              <w:rPr>
                <w:rFonts w:ascii="Cambria Math" w:hAnsi="Cambria Math" w:eastAsiaTheme="minorEastAsia"/>
                <w:szCs w:val="21"/>
              </w:rPr>
              <m:t>Hc,rel</m:t>
            </m:r>
            <m:ctrlPr>
              <w:rPr>
                <w:rFonts w:ascii="Cambria Math" w:hAnsi="Cambria Math"/>
                <w:i/>
                <w:szCs w:val="21"/>
              </w:rPr>
            </m:ctrlPr>
          </m:sub>
        </m:sSub>
      </m:oMath>
      <w:r>
        <w:rPr>
          <w:rFonts w:hint="eastAsia"/>
          <w:sz w:val="24"/>
        </w:rPr>
        <w:t>和氧化石墨烯样品</w:t>
      </w:r>
      <w:r>
        <w:rPr>
          <w:sz w:val="24"/>
        </w:rPr>
        <w:t>测量重复性引入的不确定度</w:t>
      </w:r>
      <w:r>
        <w:rPr>
          <w:rFonts w:eastAsiaTheme="minorEastAsia"/>
          <w:i/>
          <w:iCs/>
          <w:szCs w:val="21"/>
        </w:rPr>
        <w:t>u</w:t>
      </w:r>
      <w:r>
        <w:rPr>
          <w:rFonts w:hint="eastAsia" w:eastAsiaTheme="minorEastAsia"/>
          <w:szCs w:val="21"/>
          <w:vertAlign w:val="subscript"/>
        </w:rPr>
        <w:t>s</w:t>
      </w:r>
      <w:r>
        <w:rPr>
          <w:rFonts w:eastAsiaTheme="minorEastAsia"/>
          <w:szCs w:val="21"/>
          <w:vertAlign w:val="subscript"/>
        </w:rPr>
        <w:t>,rel</w:t>
      </w:r>
      <w:r>
        <w:rPr>
          <w:rFonts w:hint="eastAsia"/>
          <w:sz w:val="24"/>
        </w:rPr>
        <w:t>，具体评定方法见附录A。</w:t>
      </w:r>
    </w:p>
    <w:p w14:paraId="62F525F2">
      <w:pPr>
        <w:tabs>
          <w:tab w:val="left" w:pos="540"/>
        </w:tabs>
        <w:autoSpaceDE w:val="0"/>
        <w:autoSpaceDN w:val="0"/>
        <w:adjustRightInd w:val="0"/>
        <w:spacing w:before="120" w:beforeLines="50" w:after="120" w:afterLines="50" w:line="360" w:lineRule="auto"/>
        <w:rPr>
          <w:sz w:val="24"/>
        </w:rPr>
      </w:pPr>
      <w:r>
        <w:rPr>
          <w:sz w:val="24"/>
        </w:rPr>
        <w:t>7.</w:t>
      </w:r>
      <w:r>
        <w:rPr>
          <w:rFonts w:hint="eastAsia"/>
          <w:sz w:val="24"/>
        </w:rPr>
        <w:t>6</w:t>
      </w:r>
      <w:r>
        <w:rPr>
          <w:sz w:val="24"/>
        </w:rPr>
        <w:t xml:space="preserve">.5 </w:t>
      </w:r>
      <w:r>
        <w:rPr>
          <w:rFonts w:hint="eastAsia"/>
          <w:sz w:val="24"/>
        </w:rPr>
        <w:t>测量结果</w:t>
      </w:r>
    </w:p>
    <w:p w14:paraId="466F97EF">
      <w:pPr>
        <w:tabs>
          <w:tab w:val="left" w:pos="540"/>
        </w:tabs>
        <w:autoSpaceDE w:val="0"/>
        <w:autoSpaceDN w:val="0"/>
        <w:adjustRightInd w:val="0"/>
        <w:spacing w:line="360" w:lineRule="auto"/>
        <w:ind w:firstLine="480" w:firstLineChars="200"/>
        <w:rPr>
          <w:sz w:val="24"/>
        </w:rPr>
      </w:pPr>
      <w:r>
        <w:rPr>
          <w:rFonts w:hint="eastAsia"/>
          <w:sz w:val="24"/>
        </w:rPr>
        <w:t>包括校准后氧化石墨烯片层厚度及扩展不确定度</w:t>
      </w:r>
      <w:r>
        <w:rPr>
          <w:sz w:val="24"/>
        </w:rPr>
        <w:t>。</w:t>
      </w:r>
    </w:p>
    <w:p w14:paraId="6421A709">
      <w:pPr>
        <w:tabs>
          <w:tab w:val="left" w:pos="540"/>
        </w:tabs>
        <w:autoSpaceDE w:val="0"/>
        <w:autoSpaceDN w:val="0"/>
        <w:adjustRightInd w:val="0"/>
        <w:spacing w:before="120" w:beforeLines="50" w:line="360" w:lineRule="auto"/>
        <w:rPr>
          <w:rFonts w:ascii="黑体" w:hAnsi="黑体" w:eastAsia="黑体"/>
          <w:sz w:val="24"/>
        </w:rPr>
      </w:pPr>
      <w:r>
        <w:rPr>
          <w:rFonts w:ascii="黑体" w:hAnsi="黑体" w:eastAsia="黑体"/>
          <w:sz w:val="24"/>
        </w:rPr>
        <w:t>7.</w:t>
      </w:r>
      <w:r>
        <w:rPr>
          <w:rFonts w:hint="eastAsia" w:ascii="黑体" w:hAnsi="黑体" w:eastAsia="黑体"/>
          <w:sz w:val="24"/>
        </w:rPr>
        <w:t>7</w:t>
      </w:r>
      <w:r>
        <w:rPr>
          <w:rFonts w:ascii="黑体" w:hAnsi="黑体" w:eastAsia="黑体"/>
          <w:sz w:val="24"/>
        </w:rPr>
        <w:t xml:space="preserve"> </w:t>
      </w:r>
      <w:r>
        <w:rPr>
          <w:rFonts w:hint="eastAsia" w:ascii="黑体" w:hAnsi="黑体" w:eastAsia="黑体"/>
          <w:sz w:val="24"/>
        </w:rPr>
        <w:t>单层率</w:t>
      </w:r>
    </w:p>
    <w:p w14:paraId="7A11DF4E">
      <w:pPr>
        <w:spacing w:before="120" w:beforeLines="50" w:line="240" w:lineRule="atLeast"/>
        <w:ind w:firstLine="480" w:firstLineChars="200"/>
        <w:jc w:val="left"/>
        <w:rPr>
          <w:sz w:val="24"/>
        </w:rPr>
      </w:pPr>
      <w:r>
        <w:rPr>
          <w:rFonts w:hint="eastAsia"/>
          <w:sz w:val="24"/>
        </w:rPr>
        <w:t>用7.1中原子力显微镜测量试样厚度的测试结果计算单层率，样本数量应不小于25片。</w:t>
      </w:r>
    </w:p>
    <w:p w14:paraId="4A736D33">
      <w:pPr>
        <w:tabs>
          <w:tab w:val="left" w:pos="540"/>
        </w:tabs>
        <w:autoSpaceDE w:val="0"/>
        <w:autoSpaceDN w:val="0"/>
        <w:adjustRightInd w:val="0"/>
        <w:spacing w:before="120" w:beforeLines="50" w:line="360" w:lineRule="auto"/>
        <w:rPr>
          <w:rFonts w:ascii="黑体" w:hAnsi="黑体" w:eastAsia="黑体"/>
          <w:sz w:val="24"/>
        </w:rPr>
      </w:pPr>
      <w:r>
        <w:rPr>
          <w:rFonts w:hint="eastAsia" w:ascii="黑体" w:hAnsi="黑体" w:eastAsia="黑体"/>
          <w:sz w:val="24"/>
        </w:rPr>
        <w:t>7.8  碳氧比</w:t>
      </w:r>
    </w:p>
    <w:p w14:paraId="49311A4A">
      <w:pPr>
        <w:spacing w:before="120" w:beforeLines="50" w:line="240" w:lineRule="atLeast"/>
        <w:ind w:firstLine="480" w:firstLineChars="200"/>
        <w:jc w:val="left"/>
        <w:rPr>
          <w:sz w:val="24"/>
        </w:rPr>
      </w:pPr>
      <w:r>
        <w:rPr>
          <w:rFonts w:hint="eastAsia"/>
          <w:sz w:val="24"/>
        </w:rPr>
        <w:t>按照GB/T 4</w:t>
      </w:r>
      <w:r>
        <w:rPr>
          <w:sz w:val="24"/>
        </w:rPr>
        <w:t>3598</w:t>
      </w:r>
      <w:r>
        <w:rPr>
          <w:rFonts w:hint="eastAsia"/>
          <w:sz w:val="24"/>
        </w:rPr>
        <w:t>测试浆料的氧含量和碳氧比。</w:t>
      </w:r>
    </w:p>
    <w:p w14:paraId="5845704E">
      <w:pPr>
        <w:pStyle w:val="2"/>
        <w:spacing w:before="360" w:after="120" w:line="360" w:lineRule="auto"/>
        <w:rPr>
          <w:rFonts w:hint="eastAsia" w:ascii="黑体" w:hAnsi="黑体" w:eastAsia="黑体"/>
          <w:b w:val="0"/>
          <w:bCs w:val="0"/>
          <w:color w:val="000000" w:themeColor="text1"/>
          <w:sz w:val="24"/>
          <w:szCs w:val="20"/>
          <w14:textFill>
            <w14:solidFill>
              <w14:schemeClr w14:val="tx1"/>
            </w14:solidFill>
          </w14:textFill>
        </w:rPr>
      </w:pPr>
      <w:bookmarkStart w:id="38" w:name="_Toc12042"/>
      <w:bookmarkStart w:id="39" w:name="_Toc12349"/>
      <w:bookmarkStart w:id="40" w:name="_Toc13857"/>
      <w:bookmarkStart w:id="41" w:name="_Toc196929261"/>
      <w:r>
        <w:rPr>
          <w:rFonts w:ascii="黑体" w:hAnsi="黑体" w:eastAsia="黑体"/>
          <w:b w:val="0"/>
          <w:bCs w:val="0"/>
          <w:color w:val="000000" w:themeColor="text1"/>
          <w:sz w:val="24"/>
          <w:szCs w:val="20"/>
          <w14:textFill>
            <w14:solidFill>
              <w14:schemeClr w14:val="tx1"/>
            </w14:solidFill>
          </w14:textFill>
        </w:rPr>
        <w:t>8</w:t>
      </w:r>
      <w:r>
        <w:rPr>
          <w:rFonts w:hint="eastAsia" w:ascii="黑体" w:hAnsi="黑体" w:eastAsia="黑体"/>
          <w:b w:val="0"/>
          <w:bCs w:val="0"/>
          <w:color w:val="000000" w:themeColor="text1"/>
          <w:sz w:val="24"/>
          <w:szCs w:val="20"/>
          <w14:textFill>
            <w14:solidFill>
              <w14:schemeClr w14:val="tx1"/>
            </w14:solidFill>
          </w14:textFill>
        </w:rPr>
        <w:t xml:space="preserve"> 测量结果表达</w:t>
      </w:r>
      <w:bookmarkEnd w:id="38"/>
      <w:bookmarkEnd w:id="39"/>
      <w:bookmarkEnd w:id="40"/>
      <w:bookmarkEnd w:id="41"/>
    </w:p>
    <w:p w14:paraId="7AF23980">
      <w:pPr>
        <w:tabs>
          <w:tab w:val="left" w:pos="540"/>
        </w:tabs>
        <w:autoSpaceDE w:val="0"/>
        <w:autoSpaceDN w:val="0"/>
        <w:adjustRightInd w:val="0"/>
        <w:spacing w:line="360" w:lineRule="auto"/>
        <w:ind w:firstLine="480" w:firstLineChars="200"/>
        <w:rPr>
          <w:sz w:val="24"/>
        </w:rPr>
      </w:pPr>
      <w:r>
        <w:rPr>
          <w:rFonts w:hint="eastAsia"/>
          <w:sz w:val="24"/>
        </w:rPr>
        <w:t>对所测量的氧化石墨烯浆料出具证书，原始记录格式见附录B，证书格式见附录C</w:t>
      </w:r>
      <w:r>
        <w:rPr>
          <w:sz w:val="24"/>
        </w:rPr>
        <w:t>。</w:t>
      </w:r>
      <w:bookmarkStart w:id="42" w:name="_Toc24365"/>
      <w:bookmarkStart w:id="43" w:name="_Toc96"/>
      <w:bookmarkStart w:id="44" w:name="_Toc342"/>
      <w:r>
        <w:rPr>
          <w:rFonts w:hint="eastAsia"/>
          <w:sz w:val="24"/>
        </w:rPr>
        <w:t>证书包括但不限于以下信息：</w:t>
      </w:r>
    </w:p>
    <w:p w14:paraId="6ED4F41B">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证书</w:t>
      </w:r>
      <w:r>
        <w:rPr>
          <w:sz w:val="24"/>
        </w:rPr>
        <w:t>的唯一性标识（</w:t>
      </w:r>
      <w:r>
        <w:rPr>
          <w:rFonts w:hint="eastAsia"/>
          <w:sz w:val="24"/>
        </w:rPr>
        <w:t>如</w:t>
      </w:r>
      <w:r>
        <w:rPr>
          <w:sz w:val="24"/>
        </w:rPr>
        <w:t>编号）</w:t>
      </w:r>
      <w:r>
        <w:rPr>
          <w:rFonts w:hint="eastAsia"/>
          <w:sz w:val="24"/>
        </w:rPr>
        <w:t>，</w:t>
      </w:r>
      <w:r>
        <w:rPr>
          <w:sz w:val="24"/>
        </w:rPr>
        <w:t>每页及总页数的标识；</w:t>
      </w:r>
    </w:p>
    <w:p w14:paraId="45F8EDC4">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测试实验室</w:t>
      </w:r>
      <w:r>
        <w:rPr>
          <w:sz w:val="24"/>
        </w:rPr>
        <w:t>名称</w:t>
      </w:r>
      <w:r>
        <w:rPr>
          <w:rFonts w:hint="eastAsia"/>
          <w:sz w:val="24"/>
        </w:rPr>
        <w:t>、</w:t>
      </w:r>
      <w:r>
        <w:rPr>
          <w:sz w:val="24"/>
        </w:rPr>
        <w:t>地</w:t>
      </w:r>
      <w:r>
        <w:rPr>
          <w:rFonts w:hint="eastAsia"/>
          <w:sz w:val="24"/>
        </w:rPr>
        <w:t>址</w:t>
      </w:r>
      <w:r>
        <w:rPr>
          <w:sz w:val="24"/>
        </w:rPr>
        <w:t>；</w:t>
      </w:r>
    </w:p>
    <w:p w14:paraId="19219030">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送样单位</w:t>
      </w:r>
      <w:r>
        <w:rPr>
          <w:sz w:val="24"/>
        </w:rPr>
        <w:t>名称</w:t>
      </w:r>
      <w:r>
        <w:rPr>
          <w:rFonts w:hint="eastAsia"/>
          <w:sz w:val="24"/>
        </w:rPr>
        <w:t>、</w:t>
      </w:r>
      <w:r>
        <w:rPr>
          <w:sz w:val="24"/>
        </w:rPr>
        <w:t>地址；</w:t>
      </w:r>
    </w:p>
    <w:p w14:paraId="63E6F777">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被测样品：生产批号、形态（照片）等必要信息；</w:t>
      </w:r>
    </w:p>
    <w:p w14:paraId="7B0BDA5E">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测量所依据</w:t>
      </w:r>
      <w:r>
        <w:rPr>
          <w:sz w:val="24"/>
        </w:rPr>
        <w:t>技术规范</w:t>
      </w:r>
      <w:r>
        <w:rPr>
          <w:rFonts w:hint="eastAsia"/>
          <w:sz w:val="24"/>
        </w:rPr>
        <w:t>的</w:t>
      </w:r>
      <w:r>
        <w:rPr>
          <w:sz w:val="24"/>
        </w:rPr>
        <w:t>名称</w:t>
      </w:r>
      <w:r>
        <w:rPr>
          <w:rFonts w:hint="eastAsia"/>
          <w:sz w:val="24"/>
        </w:rPr>
        <w:t>、编号；</w:t>
      </w:r>
    </w:p>
    <w:p w14:paraId="5FDEAAC1">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测量环境</w:t>
      </w:r>
      <w:r>
        <w:rPr>
          <w:sz w:val="24"/>
        </w:rPr>
        <w:t>的描述；</w:t>
      </w:r>
    </w:p>
    <w:p w14:paraId="286FDF11">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测量仪器的名称、型号，</w:t>
      </w:r>
      <w:r>
        <w:rPr>
          <w:sz w:val="24"/>
        </w:rPr>
        <w:t>溯源性及有效性说明；</w:t>
      </w:r>
    </w:p>
    <w:p w14:paraId="67830ECA">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测量</w:t>
      </w:r>
      <w:r>
        <w:rPr>
          <w:sz w:val="24"/>
        </w:rPr>
        <w:t>结果</w:t>
      </w:r>
      <w:r>
        <w:rPr>
          <w:rFonts w:hint="eastAsia"/>
          <w:sz w:val="24"/>
        </w:rPr>
        <w:t>和</w:t>
      </w:r>
      <w:r>
        <w:rPr>
          <w:sz w:val="24"/>
        </w:rPr>
        <w:t>测量不确定度；</w:t>
      </w:r>
    </w:p>
    <w:p w14:paraId="0463C123">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测</w:t>
      </w:r>
      <w:r>
        <w:rPr>
          <w:sz w:val="24"/>
        </w:rPr>
        <w:t>量结果仅对被测对象有效的声明；</w:t>
      </w:r>
    </w:p>
    <w:p w14:paraId="714BD2ED">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测量日期、人员；</w:t>
      </w:r>
    </w:p>
    <w:p w14:paraId="06B0015F">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证书</w:t>
      </w:r>
      <w:r>
        <w:rPr>
          <w:sz w:val="24"/>
        </w:rPr>
        <w:t>签发人</w:t>
      </w:r>
      <w:r>
        <w:rPr>
          <w:rFonts w:hint="eastAsia"/>
          <w:sz w:val="24"/>
        </w:rPr>
        <w:t>的</w:t>
      </w:r>
      <w:r>
        <w:rPr>
          <w:sz w:val="24"/>
        </w:rPr>
        <w:t>签名、职务或等效标识；</w:t>
      </w:r>
    </w:p>
    <w:p w14:paraId="10C530AD">
      <w:pPr>
        <w:pStyle w:val="44"/>
        <w:numPr>
          <w:ilvl w:val="0"/>
          <w:numId w:val="4"/>
        </w:numPr>
        <w:tabs>
          <w:tab w:val="left" w:pos="540"/>
        </w:tabs>
        <w:autoSpaceDE w:val="0"/>
        <w:autoSpaceDN w:val="0"/>
        <w:adjustRightInd w:val="0"/>
        <w:spacing w:line="360" w:lineRule="auto"/>
        <w:ind w:firstLineChars="0"/>
        <w:rPr>
          <w:sz w:val="24"/>
        </w:rPr>
      </w:pPr>
      <w:r>
        <w:rPr>
          <w:rFonts w:hint="eastAsia"/>
          <w:sz w:val="24"/>
        </w:rPr>
        <w:t>未经</w:t>
      </w:r>
      <w:r>
        <w:rPr>
          <w:sz w:val="24"/>
        </w:rPr>
        <w:t>实验室书面批准，不得复制</w:t>
      </w:r>
      <w:r>
        <w:rPr>
          <w:rFonts w:hint="eastAsia"/>
          <w:sz w:val="24"/>
        </w:rPr>
        <w:t>全部或部分</w:t>
      </w:r>
      <w:r>
        <w:rPr>
          <w:sz w:val="24"/>
        </w:rPr>
        <w:t>证书的声明。</w:t>
      </w:r>
      <w:r>
        <w:rPr>
          <w:rFonts w:hint="eastAsia"/>
          <w:sz w:val="24"/>
        </w:rPr>
        <w:tab/>
      </w:r>
    </w:p>
    <w:bookmarkEnd w:id="42"/>
    <w:bookmarkEnd w:id="43"/>
    <w:bookmarkEnd w:id="44"/>
    <w:p w14:paraId="02D9CD29">
      <w:pPr>
        <w:widowControl/>
        <w:jc w:val="left"/>
        <w:rPr>
          <w:b/>
        </w:rPr>
      </w:pPr>
      <w:bookmarkStart w:id="45" w:name="_Toc30340"/>
      <w:bookmarkStart w:id="46" w:name="_Toc21311"/>
      <w:bookmarkStart w:id="47" w:name="_Toc32416"/>
      <w:bookmarkStart w:id="48" w:name="_Toc24877"/>
    </w:p>
    <w:p w14:paraId="1CACB025">
      <w:pPr>
        <w:pStyle w:val="38"/>
        <w:ind w:firstLine="594" w:firstLineChars="200"/>
        <w:rPr>
          <w:rFonts w:hint="eastAsia" w:ascii="宋体" w:hAnsi="宋体" w:cs="宋体"/>
          <w:bCs/>
          <w:kern w:val="44"/>
          <w:sz w:val="28"/>
          <w:szCs w:val="28"/>
        </w:rPr>
      </w:pPr>
      <w:r>
        <w:rPr>
          <w:rFonts w:ascii="宋体" w:hAnsi="宋体" w:cs="宋体"/>
          <w:b/>
          <w:sz w:val="28"/>
          <w:szCs w:val="28"/>
        </w:rPr>
        <w:br w:type="page"/>
      </w:r>
    </w:p>
    <w:p w14:paraId="10A4E97E">
      <w:pPr>
        <w:pStyle w:val="2"/>
        <w:spacing w:before="0" w:after="0" w:line="240" w:lineRule="auto"/>
        <w:rPr>
          <w:rFonts w:hint="eastAsia" w:ascii="宋体" w:hAnsi="宋体" w:cs="宋体"/>
          <w:b w:val="0"/>
          <w:sz w:val="28"/>
          <w:szCs w:val="28"/>
        </w:rPr>
      </w:pPr>
      <w:bookmarkStart w:id="49" w:name="_Toc196929262"/>
      <w:r>
        <w:rPr>
          <w:rFonts w:hint="eastAsia" w:ascii="宋体" w:hAnsi="宋体" w:cs="宋体"/>
          <w:b w:val="0"/>
          <w:sz w:val="28"/>
          <w:szCs w:val="28"/>
        </w:rPr>
        <w:t>附录A</w:t>
      </w:r>
      <w:bookmarkEnd w:id="49"/>
    </w:p>
    <w:p w14:paraId="219E3E26">
      <w:pPr>
        <w:autoSpaceDE w:val="0"/>
        <w:autoSpaceDN w:val="0"/>
        <w:adjustRightInd w:val="0"/>
        <w:snapToGrid w:val="0"/>
        <w:spacing w:before="120" w:beforeLines="50" w:after="120" w:afterLines="50" w:line="300" w:lineRule="auto"/>
        <w:jc w:val="center"/>
        <w:rPr>
          <w:rFonts w:hint="eastAsia" w:ascii="黑体" w:hAnsi="黑体" w:eastAsia="黑体"/>
          <w:sz w:val="28"/>
          <w:szCs w:val="28"/>
        </w:rPr>
      </w:pPr>
      <w:r>
        <w:rPr>
          <w:rFonts w:hint="eastAsia" w:ascii="黑体" w:hAnsi="黑体" w:eastAsia="黑体"/>
          <w:sz w:val="28"/>
          <w:szCs w:val="28"/>
        </w:rPr>
        <w:t>测量不确定度评定示例</w:t>
      </w:r>
    </w:p>
    <w:p w14:paraId="492731F8">
      <w:pPr>
        <w:spacing w:line="360" w:lineRule="auto"/>
        <w:rPr>
          <w:rFonts w:hint="eastAsia" w:ascii="黑体" w:hAnsi="黑体" w:eastAsia="黑体"/>
          <w:sz w:val="24"/>
        </w:rPr>
      </w:pPr>
      <w:r>
        <w:rPr>
          <w:rFonts w:hint="eastAsia" w:ascii="黑体" w:hAnsi="黑体" w:eastAsia="黑体"/>
          <w:sz w:val="24"/>
        </w:rPr>
        <w:t>A</w:t>
      </w:r>
      <w:r>
        <w:rPr>
          <w:rFonts w:ascii="黑体" w:hAnsi="黑体" w:eastAsia="黑体"/>
          <w:sz w:val="24"/>
        </w:rPr>
        <w:t>.</w:t>
      </w:r>
      <w:r>
        <w:rPr>
          <w:rFonts w:hint="eastAsia" w:ascii="黑体" w:hAnsi="黑体" w:eastAsia="黑体"/>
          <w:sz w:val="24"/>
        </w:rPr>
        <w:t>1 厚度的校准不确定度评定示例</w:t>
      </w:r>
    </w:p>
    <w:p w14:paraId="4261EE0C">
      <w:pPr>
        <w:spacing w:before="120" w:beforeLines="50" w:after="120" w:afterLines="50"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A</w:t>
      </w: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1</w:t>
      </w:r>
      <w:r>
        <w:rPr>
          <w:color w:val="000000" w:themeColor="text1"/>
          <w:sz w:val="24"/>
          <w14:textFill>
            <w14:solidFill>
              <w14:schemeClr w14:val="tx1"/>
            </w14:solidFill>
          </w14:textFill>
        </w:rPr>
        <w:t>.1</w:t>
      </w:r>
      <w:r>
        <w:rPr>
          <w:rFonts w:hint="eastAsia"/>
          <w:color w:val="000000" w:themeColor="text1"/>
          <w:sz w:val="24"/>
          <w14:textFill>
            <w14:solidFill>
              <w14:schemeClr w14:val="tx1"/>
            </w14:solidFill>
          </w14:textFill>
        </w:rPr>
        <w:t xml:space="preserve"> 校准方法简述及测量模型</w:t>
      </w:r>
    </w:p>
    <w:p w14:paraId="0F9C5899">
      <w:pPr>
        <w:pStyle w:val="44"/>
        <w:spacing w:line="360" w:lineRule="auto"/>
        <w:ind w:firstLine="480"/>
        <w:rPr>
          <w:sz w:val="24"/>
        </w:rPr>
      </w:pPr>
      <w:r>
        <w:rPr>
          <w:rFonts w:hint="eastAsia"/>
          <w:sz w:val="24"/>
        </w:rPr>
        <w:t>使用标准物质高度测量值和标准值的比值对原子力显微镜高度进行校准</w:t>
      </w:r>
      <w:r>
        <w:rPr>
          <w:sz w:val="24"/>
        </w:rPr>
        <w:t>。</w:t>
      </w:r>
    </w:p>
    <w:p w14:paraId="7BFFA591">
      <w:pPr>
        <w:pStyle w:val="44"/>
        <w:spacing w:line="360" w:lineRule="auto"/>
        <w:ind w:firstLine="480"/>
        <w:rPr>
          <w:sz w:val="24"/>
        </w:rPr>
      </w:pPr>
      <w:r>
        <w:rPr>
          <w:rFonts w:hint="eastAsia"/>
          <w:sz w:val="24"/>
        </w:rPr>
        <w:t>校正比例因子：</w:t>
      </w:r>
    </w:p>
    <w:p w14:paraId="197FB087">
      <w:pPr>
        <w:pStyle w:val="44"/>
        <w:spacing w:line="360" w:lineRule="auto"/>
        <w:ind w:firstLine="480"/>
        <w:jc w:val="right"/>
        <w:rPr>
          <w:sz w:val="24"/>
        </w:rPr>
      </w:pPr>
      <w:r>
        <w:rPr>
          <w:rFonts w:hint="eastAsia"/>
          <w:i/>
          <w:iCs/>
          <w:sz w:val="24"/>
        </w:rPr>
        <w:t>R</w:t>
      </w:r>
      <w:r>
        <w:rPr>
          <w:sz w:val="24"/>
        </w:rPr>
        <w:t>=</w:t>
      </w:r>
      <w:r>
        <w:rPr>
          <w:rFonts w:hint="eastAsia"/>
          <w:i/>
          <w:iCs/>
          <w:sz w:val="24"/>
        </w:rPr>
        <w:t>H</w:t>
      </w:r>
      <w:r>
        <w:rPr>
          <w:rFonts w:hint="eastAsia"/>
          <w:sz w:val="24"/>
          <w:vertAlign w:val="subscript"/>
        </w:rPr>
        <w:t>c</w:t>
      </w:r>
      <w:r>
        <w:rPr>
          <w:rFonts w:hint="eastAsia"/>
          <w:sz w:val="24"/>
        </w:rPr>
        <w:t>/</w:t>
      </w:r>
      <w:r>
        <w:rPr>
          <w:i/>
          <w:iCs/>
          <w:sz w:val="24"/>
        </w:rPr>
        <w:t>H</w:t>
      </w:r>
      <w:r>
        <w:rPr>
          <w:sz w:val="24"/>
          <w:vertAlign w:val="subscript"/>
        </w:rPr>
        <w:t>m</w:t>
      </w:r>
      <w:r>
        <w:rPr>
          <w:sz w:val="24"/>
        </w:rPr>
        <w:t xml:space="preserve"> ...…………………………</w:t>
      </w:r>
      <w:r>
        <w:rPr>
          <w:rFonts w:hint="eastAsia"/>
          <w:color w:val="000000"/>
          <w:kern w:val="0"/>
          <w:sz w:val="24"/>
        </w:rPr>
        <w:t>（A</w:t>
      </w:r>
      <w:r>
        <w:rPr>
          <w:color w:val="000000"/>
          <w:kern w:val="0"/>
          <w:sz w:val="24"/>
        </w:rPr>
        <w:t>.1</w:t>
      </w:r>
      <w:r>
        <w:rPr>
          <w:rFonts w:hint="eastAsia"/>
          <w:color w:val="000000"/>
          <w:kern w:val="0"/>
          <w:sz w:val="24"/>
        </w:rPr>
        <w:t>）</w:t>
      </w:r>
    </w:p>
    <w:p w14:paraId="52A3E077">
      <w:pPr>
        <w:spacing w:line="360" w:lineRule="auto"/>
        <w:ind w:firstLine="420"/>
        <w:rPr>
          <w:i/>
          <w:iCs/>
          <w:sz w:val="24"/>
        </w:rPr>
      </w:pPr>
      <w:r>
        <w:rPr>
          <w:rFonts w:hint="eastAsia"/>
          <w:sz w:val="24"/>
        </w:rPr>
        <w:t>式中</w:t>
      </w:r>
      <w:r>
        <w:rPr>
          <w:rFonts w:hint="eastAsia"/>
          <w:i/>
          <w:iCs/>
          <w:sz w:val="24"/>
        </w:rPr>
        <w:t>，</w:t>
      </w:r>
    </w:p>
    <w:p w14:paraId="73E7229F">
      <w:pPr>
        <w:spacing w:line="360" w:lineRule="auto"/>
        <w:ind w:firstLine="420"/>
        <w:rPr>
          <w:sz w:val="24"/>
        </w:rPr>
      </w:pPr>
      <w:r>
        <w:rPr>
          <w:i/>
          <w:iCs/>
          <w:sz w:val="24"/>
        </w:rPr>
        <w:t>R</w:t>
      </w:r>
      <w:r>
        <w:rPr>
          <w:rFonts w:hint="eastAsia"/>
          <w:i/>
          <w:iCs/>
          <w:sz w:val="24"/>
        </w:rPr>
        <w:t xml:space="preserve"> </w:t>
      </w:r>
      <w:r>
        <w:rPr>
          <w:sz w:val="24"/>
        </w:rPr>
        <w:t>—</w:t>
      </w:r>
      <w:r>
        <w:rPr>
          <w:rFonts w:hint="eastAsia"/>
          <w:sz w:val="24"/>
        </w:rPr>
        <w:t xml:space="preserve"> 校正比例因子，无单位；</w:t>
      </w:r>
    </w:p>
    <w:p w14:paraId="05283576">
      <w:pPr>
        <w:spacing w:line="360" w:lineRule="auto"/>
        <w:ind w:firstLine="420"/>
        <w:rPr>
          <w:sz w:val="24"/>
        </w:rPr>
      </w:pPr>
      <w:r>
        <w:rPr>
          <w:rFonts w:hint="eastAsia"/>
          <w:i/>
          <w:iCs/>
          <w:sz w:val="24"/>
        </w:rPr>
        <w:t>H</w:t>
      </w:r>
      <w:r>
        <w:rPr>
          <w:rFonts w:hint="eastAsia"/>
          <w:sz w:val="24"/>
          <w:vertAlign w:val="subscript"/>
        </w:rPr>
        <w:t xml:space="preserve">c </w:t>
      </w:r>
      <w:r>
        <w:rPr>
          <w:sz w:val="24"/>
        </w:rPr>
        <w:t>—</w:t>
      </w:r>
      <w:r>
        <w:rPr>
          <w:rFonts w:hint="eastAsia"/>
          <w:sz w:val="24"/>
        </w:rPr>
        <w:t xml:space="preserve"> 标准物质台阶高度标准值，</w:t>
      </w:r>
      <w:r>
        <w:rPr>
          <w:sz w:val="24"/>
        </w:rPr>
        <w:t>单位</w:t>
      </w:r>
      <w:r>
        <w:rPr>
          <w:rFonts w:hint="eastAsia"/>
          <w:sz w:val="24"/>
        </w:rPr>
        <w:t>纳米(n</w:t>
      </w:r>
      <w:r>
        <w:rPr>
          <w:sz w:val="24"/>
        </w:rPr>
        <w:t>m</w:t>
      </w:r>
      <w:r>
        <w:rPr>
          <w:rFonts w:hint="eastAsia"/>
          <w:sz w:val="24"/>
        </w:rPr>
        <w:t>)；</w:t>
      </w:r>
    </w:p>
    <w:p w14:paraId="7297A18B">
      <w:pPr>
        <w:spacing w:line="360" w:lineRule="auto"/>
        <w:ind w:firstLine="420"/>
        <w:rPr>
          <w:sz w:val="24"/>
        </w:rPr>
      </w:pPr>
      <w:r>
        <w:rPr>
          <w:rFonts w:hint="eastAsia"/>
          <w:i/>
          <w:iCs/>
          <w:sz w:val="24"/>
        </w:rPr>
        <w:t>H</w:t>
      </w:r>
      <w:r>
        <w:rPr>
          <w:rFonts w:hint="eastAsia"/>
          <w:sz w:val="24"/>
          <w:vertAlign w:val="subscript"/>
        </w:rPr>
        <w:t xml:space="preserve">m </w:t>
      </w:r>
      <w:r>
        <w:rPr>
          <w:sz w:val="24"/>
        </w:rPr>
        <w:t>—</w:t>
      </w:r>
      <w:r>
        <w:rPr>
          <w:rFonts w:hint="eastAsia"/>
          <w:sz w:val="24"/>
        </w:rPr>
        <w:t xml:space="preserve"> 标准物质台阶高度测量值，</w:t>
      </w:r>
      <w:r>
        <w:rPr>
          <w:sz w:val="24"/>
        </w:rPr>
        <w:t>单位</w:t>
      </w:r>
      <w:r>
        <w:rPr>
          <w:rFonts w:hint="eastAsia"/>
          <w:sz w:val="24"/>
        </w:rPr>
        <w:t>纳米(n</w:t>
      </w:r>
      <w:r>
        <w:rPr>
          <w:sz w:val="24"/>
        </w:rPr>
        <w:t>m</w:t>
      </w:r>
      <w:r>
        <w:rPr>
          <w:rFonts w:hint="eastAsia"/>
          <w:sz w:val="24"/>
        </w:rPr>
        <w:t>)。</w:t>
      </w:r>
    </w:p>
    <w:p w14:paraId="4AE60D59">
      <w:pPr>
        <w:spacing w:before="120" w:beforeLines="50" w:after="120" w:afterLines="50"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A</w:t>
      </w: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1</w:t>
      </w: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2 不确定度评定</w:t>
      </w:r>
    </w:p>
    <w:p w14:paraId="769ADE87">
      <w:pPr>
        <w:spacing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A.1.</w:t>
      </w: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1 校准引入的不确定度</w:t>
      </w:r>
    </w:p>
    <w:p w14:paraId="1EA35E3E">
      <w:pPr>
        <w:autoSpaceDE w:val="0"/>
        <w:autoSpaceDN w:val="0"/>
        <w:adjustRightInd w:val="0"/>
        <w:spacing w:line="360" w:lineRule="auto"/>
        <w:ind w:firstLine="360" w:firstLineChars="150"/>
        <w:jc w:val="left"/>
        <w:rPr>
          <w:sz w:val="24"/>
        </w:rPr>
      </w:pPr>
      <w:r>
        <w:rPr>
          <w:rFonts w:hint="eastAsia"/>
          <w:sz w:val="24"/>
        </w:rPr>
        <w:t>根据式（A.</w:t>
      </w:r>
      <w:r>
        <w:rPr>
          <w:sz w:val="24"/>
        </w:rPr>
        <w:t>1</w:t>
      </w:r>
      <w:r>
        <w:rPr>
          <w:rFonts w:hint="eastAsia"/>
          <w:sz w:val="24"/>
        </w:rPr>
        <w:t>），校准引入的不确定度分量包括标准物质测量重复性引入的不确定度和标准物质引入的不确定度。</w:t>
      </w:r>
    </w:p>
    <w:p w14:paraId="7103A963">
      <w:pPr>
        <w:autoSpaceDE w:val="0"/>
        <w:autoSpaceDN w:val="0"/>
        <w:adjustRightInd w:val="0"/>
        <w:spacing w:line="360" w:lineRule="auto"/>
        <w:ind w:firstLine="360" w:firstLineChars="150"/>
        <w:jc w:val="right"/>
        <w:rPr>
          <w:rFonts w:eastAsia="TimesNewRomanPSMT"/>
          <w:sz w:val="24"/>
        </w:rPr>
      </w:pPr>
      <w:r>
        <w:rPr>
          <w:rFonts w:eastAsiaTheme="minorEastAsia"/>
          <w:i/>
          <w:iCs/>
          <w:sz w:val="24"/>
        </w:rPr>
        <w:t>u</w:t>
      </w:r>
      <w:r>
        <w:rPr>
          <w:rFonts w:eastAsiaTheme="minorEastAsia"/>
          <w:sz w:val="24"/>
          <w:vertAlign w:val="subscript"/>
        </w:rPr>
        <w:t>R,rel</w:t>
      </w:r>
      <w:r>
        <w:rPr>
          <w:rFonts w:asciiTheme="minorEastAsia" w:hAnsiTheme="minorEastAsia" w:eastAsiaTheme="minorEastAsia"/>
          <w:sz w:val="24"/>
        </w:rPr>
        <w:t>=</w:t>
      </w:r>
      <m:oMath>
        <m:rad>
          <m:radPr>
            <m:degHide m:val="1"/>
            <m:ctrlPr>
              <w:rPr>
                <w:rFonts w:ascii="Cambria Math" w:hAnsi="Cambria Math" w:eastAsiaTheme="minorEastAsia"/>
                <w:i/>
                <w:sz w:val="24"/>
              </w:rPr>
            </m:ctrlPr>
          </m:radPr>
          <m:deg>
            <m:ctrlPr>
              <w:rPr>
                <w:rFonts w:ascii="Cambria Math" w:hAnsi="Cambria Math" w:eastAsiaTheme="minorEastAsia"/>
                <w:i/>
                <w:sz w:val="24"/>
              </w:rPr>
            </m:ctrlPr>
          </m:deg>
          <m:e>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Hc,rel</m:t>
                </m:r>
                <m:ctrlPr>
                  <w:rPr>
                    <w:rFonts w:ascii="Cambria Math" w:hAnsi="Cambria Math" w:eastAsiaTheme="minorEastAsia"/>
                    <w:i/>
                    <w:sz w:val="24"/>
                  </w:rPr>
                </m:ctrlPr>
              </m:sub>
              <m:sup>
                <m:r>
                  <m:rPr/>
                  <w:rPr>
                    <w:rFonts w:ascii="Cambria Math" w:hAnsi="Cambria Math" w:eastAsiaTheme="minorEastAsia"/>
                    <w:sz w:val="24"/>
                  </w:rPr>
                  <m:t>2</m:t>
                </m:r>
                <m:ctrlPr>
                  <w:rPr>
                    <w:rFonts w:ascii="Cambria Math" w:hAnsi="Cambria Math" w:eastAsiaTheme="minorEastAsia"/>
                    <w:i/>
                    <w:sz w:val="24"/>
                  </w:rPr>
                </m:ctrlPr>
              </m:sup>
            </m:sSubSup>
            <m:r>
              <m:rPr/>
              <w:rPr>
                <w:rFonts w:ascii="Cambria Math" w:hAnsi="Cambria Math" w:eastAsiaTheme="minorEastAsia"/>
                <w:sz w:val="24"/>
              </w:rPr>
              <m:t>+</m:t>
            </m:r>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Hm,rel</m:t>
                </m:r>
                <m:ctrlPr>
                  <w:rPr>
                    <w:rFonts w:ascii="Cambria Math" w:hAnsi="Cambria Math" w:eastAsiaTheme="minorEastAsia"/>
                    <w:i/>
                    <w:sz w:val="24"/>
                  </w:rPr>
                </m:ctrlPr>
              </m:sub>
              <m:sup>
                <m:r>
                  <m:rPr/>
                  <w:rPr>
                    <w:rFonts w:ascii="Cambria Math" w:hAnsi="Cambria Math" w:eastAsiaTheme="minorEastAsia"/>
                    <w:sz w:val="24"/>
                  </w:rPr>
                  <m:t>2</m:t>
                </m:r>
                <m:ctrlPr>
                  <w:rPr>
                    <w:rFonts w:ascii="Cambria Math" w:hAnsi="Cambria Math" w:eastAsiaTheme="minorEastAsia"/>
                    <w:i/>
                    <w:sz w:val="24"/>
                  </w:rPr>
                </m:ctrlPr>
              </m:sup>
            </m:sSubSup>
            <m:ctrlPr>
              <w:rPr>
                <w:rFonts w:ascii="Cambria Math" w:hAnsi="Cambria Math" w:eastAsiaTheme="minorEastAsia"/>
                <w:i/>
                <w:sz w:val="24"/>
              </w:rPr>
            </m:ctrlPr>
          </m:e>
        </m:rad>
      </m:oMath>
      <w:r>
        <w:rPr>
          <w:rFonts w:hint="eastAsia" w:asciiTheme="minorEastAsia" w:hAnsiTheme="minorEastAsia" w:eastAsiaTheme="minorEastAsia"/>
          <w:sz w:val="24"/>
        </w:rPr>
        <w:t xml:space="preserve">  </w:t>
      </w:r>
      <w:r>
        <w:rPr>
          <w:sz w:val="24"/>
        </w:rPr>
        <w:t>...…………………………</w:t>
      </w:r>
      <w:r>
        <w:rPr>
          <w:rFonts w:hint="eastAsia"/>
          <w:color w:val="000000"/>
          <w:kern w:val="0"/>
          <w:sz w:val="24"/>
        </w:rPr>
        <w:t>（A</w:t>
      </w:r>
      <w:r>
        <w:rPr>
          <w:color w:val="000000"/>
          <w:kern w:val="0"/>
          <w:sz w:val="24"/>
        </w:rPr>
        <w:t>.</w:t>
      </w:r>
      <w:r>
        <w:rPr>
          <w:rFonts w:hint="eastAsia"/>
          <w:color w:val="000000"/>
          <w:kern w:val="0"/>
          <w:sz w:val="24"/>
        </w:rPr>
        <w:t>2）</w:t>
      </w:r>
    </w:p>
    <w:p w14:paraId="5F5ED2BE">
      <w:pPr>
        <w:autoSpaceDE w:val="0"/>
        <w:autoSpaceDN w:val="0"/>
        <w:adjustRightInd w:val="0"/>
        <w:spacing w:line="360" w:lineRule="auto"/>
        <w:jc w:val="left"/>
        <w:rPr>
          <w:rFonts w:eastAsiaTheme="minorEastAsia"/>
          <w:sz w:val="24"/>
        </w:rPr>
      </w:pPr>
      <w:r>
        <w:rPr>
          <w:rFonts w:hint="eastAsia" w:eastAsiaTheme="minorEastAsia"/>
          <w:sz w:val="24"/>
        </w:rPr>
        <w:t xml:space="preserve"> </w:t>
      </w:r>
      <w:r>
        <w:rPr>
          <w:rFonts w:eastAsiaTheme="minorEastAsia"/>
          <w:sz w:val="24"/>
        </w:rPr>
        <w:t xml:space="preserve">  </w:t>
      </w:r>
      <w:r>
        <w:rPr>
          <w:rFonts w:hint="eastAsia" w:eastAsiaTheme="minorEastAsia"/>
          <w:sz w:val="24"/>
        </w:rPr>
        <w:t>式中，</w:t>
      </w:r>
    </w:p>
    <w:p w14:paraId="65EA4EE0">
      <w:pPr>
        <w:autoSpaceDE w:val="0"/>
        <w:autoSpaceDN w:val="0"/>
        <w:adjustRightInd w:val="0"/>
        <w:spacing w:line="360" w:lineRule="auto"/>
        <w:jc w:val="left"/>
        <w:rPr>
          <w:sz w:val="24"/>
        </w:rPr>
      </w:pPr>
      <w:r>
        <w:rPr>
          <w:rFonts w:hint="eastAsia" w:eastAsiaTheme="minorEastAsia"/>
          <w:sz w:val="24"/>
        </w:rPr>
        <w:t xml:space="preserve"> </w:t>
      </w:r>
      <w:r>
        <w:rPr>
          <w:rFonts w:eastAsiaTheme="minorEastAsia"/>
          <w:sz w:val="24"/>
        </w:rPr>
        <w:t xml:space="preserve">  </w:t>
      </w:r>
      <w:r>
        <w:rPr>
          <w:rFonts w:eastAsiaTheme="minorEastAsia"/>
          <w:i/>
          <w:iCs/>
          <w:sz w:val="24"/>
        </w:rPr>
        <w:t>u</w:t>
      </w:r>
      <w:r>
        <w:rPr>
          <w:rFonts w:eastAsiaTheme="minorEastAsia"/>
          <w:sz w:val="24"/>
          <w:vertAlign w:val="subscript"/>
        </w:rPr>
        <w:t>R,rel</w:t>
      </w:r>
      <w:r>
        <w:rPr>
          <w:rFonts w:hint="eastAsia" w:eastAsiaTheme="minorEastAsia"/>
          <w:sz w:val="24"/>
          <w:vertAlign w:val="subscript"/>
        </w:rPr>
        <w:t xml:space="preserve"> </w:t>
      </w:r>
      <w:r>
        <w:rPr>
          <w:rFonts w:hint="eastAsia" w:eastAsiaTheme="minorEastAsia"/>
          <w:sz w:val="24"/>
        </w:rPr>
        <w:t xml:space="preserve">— </w:t>
      </w:r>
      <w:r>
        <w:rPr>
          <w:rFonts w:hint="eastAsia"/>
          <w:sz w:val="24"/>
        </w:rPr>
        <w:t>校正比例因子的相对标准不确定度，无单位；</w:t>
      </w:r>
    </w:p>
    <w:p w14:paraId="642ABCA5">
      <w:pPr>
        <w:autoSpaceDE w:val="0"/>
        <w:autoSpaceDN w:val="0"/>
        <w:adjustRightInd w:val="0"/>
        <w:spacing w:line="360" w:lineRule="auto"/>
        <w:jc w:val="left"/>
        <w:rPr>
          <w:sz w:val="24"/>
        </w:rPr>
      </w:pPr>
      <w:r>
        <w:rPr>
          <w:rFonts w:hint="eastAsia"/>
          <w:sz w:val="24"/>
        </w:rPr>
        <w:t xml:space="preserve"> </w:t>
      </w:r>
      <w:r>
        <w:rPr>
          <w:sz w:val="24"/>
        </w:rPr>
        <w:t xml:space="preserve">  </w:t>
      </w:r>
      <m:oMath>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Hc,rel</m:t>
            </m:r>
            <m:ctrlPr>
              <w:rPr>
                <w:rFonts w:ascii="Cambria Math" w:hAnsi="Cambria Math" w:eastAsiaTheme="minorEastAsia"/>
                <w:i/>
                <w:sz w:val="24"/>
              </w:rPr>
            </m:ctrlPr>
          </m:sub>
          <m:sup>
            <m:ctrlPr>
              <w:rPr>
                <w:rFonts w:ascii="Cambria Math" w:hAnsi="Cambria Math" w:eastAsiaTheme="minorEastAsia"/>
                <w:i/>
                <w:sz w:val="24"/>
              </w:rPr>
            </m:ctrlPr>
          </m:sup>
        </m:sSubSup>
        <m:r>
          <m:rPr/>
          <w:rPr>
            <w:rFonts w:ascii="Cambria Math" w:hAnsi="Cambria Math" w:eastAsiaTheme="minorEastAsia"/>
            <w:sz w:val="24"/>
          </w:rPr>
          <m:t xml:space="preserve"> </m:t>
        </m:r>
      </m:oMath>
      <w:r>
        <w:rPr>
          <w:rFonts w:hint="eastAsia" w:eastAsiaTheme="minorEastAsia"/>
          <w:sz w:val="24"/>
        </w:rPr>
        <w:t>— 标准物质引入</w:t>
      </w:r>
      <w:r>
        <w:rPr>
          <w:rFonts w:hint="eastAsia"/>
          <w:sz w:val="24"/>
        </w:rPr>
        <w:t>的相对标准不确定度，无单位；</w:t>
      </w:r>
    </w:p>
    <w:p w14:paraId="51742B56">
      <w:pPr>
        <w:autoSpaceDE w:val="0"/>
        <w:autoSpaceDN w:val="0"/>
        <w:adjustRightInd w:val="0"/>
        <w:spacing w:line="360" w:lineRule="auto"/>
        <w:ind w:firstLine="480" w:firstLineChars="200"/>
        <w:jc w:val="left"/>
        <w:rPr>
          <w:sz w:val="24"/>
        </w:rPr>
      </w:pPr>
      <m:oMath>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Hm,rel</m:t>
            </m:r>
            <m:ctrlPr>
              <w:rPr>
                <w:rFonts w:ascii="Cambria Math" w:hAnsi="Cambria Math" w:eastAsiaTheme="minorEastAsia"/>
                <w:i/>
                <w:sz w:val="24"/>
              </w:rPr>
            </m:ctrlPr>
          </m:sub>
          <m:sup>
            <m:ctrlPr>
              <w:rPr>
                <w:rFonts w:ascii="Cambria Math" w:hAnsi="Cambria Math" w:eastAsiaTheme="minorEastAsia"/>
                <w:i/>
                <w:sz w:val="24"/>
              </w:rPr>
            </m:ctrlPr>
          </m:sup>
        </m:sSubSup>
        <m:r>
          <m:rPr/>
          <w:rPr>
            <w:rFonts w:ascii="Cambria Math" w:hAnsi="Cambria Math" w:eastAsiaTheme="minorEastAsia"/>
            <w:sz w:val="24"/>
          </w:rPr>
          <m:t xml:space="preserve"> </m:t>
        </m:r>
      </m:oMath>
      <w:r>
        <w:rPr>
          <w:rFonts w:hint="eastAsia" w:eastAsiaTheme="minorEastAsia"/>
          <w:sz w:val="24"/>
        </w:rPr>
        <w:t>— 标准物质</w:t>
      </w:r>
      <w:r>
        <w:rPr>
          <w:rFonts w:hint="eastAsia"/>
          <w:sz w:val="24"/>
        </w:rPr>
        <w:t>测量重复性</w:t>
      </w:r>
      <w:r>
        <w:rPr>
          <w:rFonts w:hint="eastAsia" w:eastAsiaTheme="minorEastAsia"/>
          <w:sz w:val="24"/>
        </w:rPr>
        <w:t>引入</w:t>
      </w:r>
      <w:r>
        <w:rPr>
          <w:rFonts w:hint="eastAsia"/>
          <w:sz w:val="24"/>
        </w:rPr>
        <w:t>的相对标准不确定度，无单位。</w:t>
      </w:r>
    </w:p>
    <w:p w14:paraId="16E17662">
      <w:pPr>
        <w:autoSpaceDE w:val="0"/>
        <w:autoSpaceDN w:val="0"/>
        <w:adjustRightInd w:val="0"/>
        <w:spacing w:line="360" w:lineRule="auto"/>
        <w:ind w:firstLine="480" w:firstLineChars="200"/>
        <w:jc w:val="left"/>
        <w:rPr>
          <w:rFonts w:eastAsiaTheme="minorEastAsia"/>
          <w:sz w:val="24"/>
        </w:rPr>
      </w:pPr>
      <w:r>
        <w:rPr>
          <w:sz w:val="24"/>
        </w:rPr>
        <w:t>GBW</w:t>
      </w:r>
      <w:r>
        <w:rPr>
          <w:rFonts w:hint="eastAsia"/>
          <w:sz w:val="24"/>
        </w:rPr>
        <w:t>(</w:t>
      </w:r>
      <w:r>
        <w:rPr>
          <w:sz w:val="24"/>
        </w:rPr>
        <w:t>E) 136709</w:t>
      </w:r>
      <w:r>
        <w:rPr>
          <w:rFonts w:hint="eastAsia"/>
          <w:sz w:val="24"/>
        </w:rPr>
        <w:t>钛酸锶单原子台阶高度</w:t>
      </w:r>
      <w:r>
        <w:rPr>
          <w:sz w:val="24"/>
        </w:rPr>
        <w:t>标准物质</w:t>
      </w:r>
      <w:r>
        <w:rPr>
          <w:rFonts w:hint="eastAsia"/>
          <w:sz w:val="24"/>
        </w:rPr>
        <w:t>标准值为0</w:t>
      </w:r>
      <w:r>
        <w:rPr>
          <w:sz w:val="24"/>
        </w:rPr>
        <w:t xml:space="preserve">.39 </w:t>
      </w:r>
      <w:r>
        <w:rPr>
          <w:rFonts w:hint="eastAsia"/>
          <w:sz w:val="24"/>
        </w:rPr>
        <w:t>nm，不确定度为0</w:t>
      </w:r>
      <w:r>
        <w:rPr>
          <w:sz w:val="24"/>
        </w:rPr>
        <w:t xml:space="preserve">.29 </w:t>
      </w:r>
      <w:r>
        <w:rPr>
          <w:rFonts w:hint="eastAsia"/>
          <w:sz w:val="24"/>
        </w:rPr>
        <w:t>nm（</w:t>
      </w:r>
      <w:r>
        <w:rPr>
          <w:rFonts w:hint="eastAsia"/>
          <w:i/>
          <w:iCs/>
          <w:sz w:val="24"/>
        </w:rPr>
        <w:t>k</w:t>
      </w:r>
      <w:r>
        <w:rPr>
          <w:sz w:val="24"/>
        </w:rPr>
        <w:t>=2</w:t>
      </w:r>
      <w:r>
        <w:rPr>
          <w:rFonts w:hint="eastAsia"/>
          <w:sz w:val="24"/>
        </w:rPr>
        <w:t>），</w:t>
      </w:r>
      <w:r>
        <w:rPr>
          <w:rFonts w:hint="eastAsia" w:eastAsiaTheme="minorEastAsia"/>
          <w:sz w:val="24"/>
        </w:rPr>
        <w:t>标准物质重复测试6次，故标准物质引入的相对标准不确定度为：</w:t>
      </w:r>
    </w:p>
    <w:p w14:paraId="7D67A4F0">
      <w:pPr>
        <w:autoSpaceDE w:val="0"/>
        <w:autoSpaceDN w:val="0"/>
        <w:adjustRightInd w:val="0"/>
        <w:spacing w:line="360" w:lineRule="auto"/>
        <w:ind w:firstLine="480" w:firstLineChars="200"/>
        <w:jc w:val="left"/>
        <w:rPr>
          <w:rFonts w:eastAsiaTheme="minorEastAsia"/>
          <w:sz w:val="24"/>
        </w:rPr>
      </w:pPr>
      <m:oMathPara>
        <m:oMath>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H</m:t>
              </m:r>
              <m:r>
                <m:rPr/>
                <w:rPr>
                  <w:rFonts w:hint="eastAsia" w:ascii="Cambria Math" w:hAnsi="Cambria Math" w:eastAsiaTheme="minorEastAsia"/>
                  <w:sz w:val="24"/>
                </w:rPr>
                <m:t>c</m:t>
              </m:r>
              <m:r>
                <m:rPr/>
                <w:rPr>
                  <w:rFonts w:ascii="Cambria Math" w:hAnsi="Cambria Math" w:eastAsiaTheme="minorEastAsia"/>
                  <w:sz w:val="24"/>
                </w:rPr>
                <m:t>,rel</m:t>
              </m:r>
              <m:ctrlPr>
                <w:rPr>
                  <w:rFonts w:ascii="Cambria Math" w:hAnsi="Cambria Math" w:eastAsiaTheme="minorEastAsia"/>
                  <w:i/>
                  <w:sz w:val="24"/>
                </w:rPr>
              </m:ctrlPr>
            </m:sub>
            <m:sup>
              <m:ctrlPr>
                <w:rPr>
                  <w:rFonts w:ascii="Cambria Math" w:hAnsi="Cambria Math" w:eastAsiaTheme="minorEastAsia"/>
                  <w:i/>
                  <w:sz w:val="24"/>
                </w:rPr>
              </m:ctrlPr>
            </m:sup>
          </m:sSubSup>
          <m:r>
            <m:rPr/>
            <w:rPr>
              <w:rFonts w:ascii="Cambria Math" w:hAnsi="Cambria Math" w:eastAsiaTheme="minorEastAsia"/>
              <w:sz w:val="24"/>
            </w:rPr>
            <m:t>=</m:t>
          </m:r>
          <m:f>
            <m:fPr>
              <m:ctrlPr>
                <w:rPr>
                  <w:rFonts w:ascii="Cambria Math" w:hAnsi="Cambria Math" w:eastAsiaTheme="minorEastAsia"/>
                  <w:i/>
                  <w:sz w:val="24"/>
                </w:rPr>
              </m:ctrlPr>
            </m:fPr>
            <m:num>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Hm</m:t>
                  </m:r>
                  <m:ctrlPr>
                    <w:rPr>
                      <w:rFonts w:ascii="Cambria Math" w:hAnsi="Cambria Math" w:eastAsiaTheme="minorEastAsia"/>
                      <w:i/>
                      <w:sz w:val="24"/>
                    </w:rPr>
                  </m:ctrlPr>
                </m:sub>
                <m:sup>
                  <m:ctrlPr>
                    <w:rPr>
                      <w:rFonts w:ascii="Cambria Math" w:hAnsi="Cambria Math" w:eastAsiaTheme="minorEastAsia"/>
                      <w:i/>
                      <w:sz w:val="24"/>
                    </w:rPr>
                  </m:ctrlPr>
                </m:sup>
              </m:sSubSup>
              <m:ctrlPr>
                <w:rPr>
                  <w:rFonts w:ascii="Cambria Math" w:hAnsi="Cambria Math" w:eastAsiaTheme="minorEastAsia"/>
                  <w:i/>
                  <w:sz w:val="24"/>
                </w:rPr>
              </m:ctrlPr>
            </m:num>
            <m:den>
              <m:r>
                <m:rPr/>
                <w:rPr>
                  <w:rFonts w:hint="eastAsia" w:ascii="Cambria Math" w:hAnsi="Cambria Math" w:eastAsiaTheme="minorEastAsia"/>
                  <w:sz w:val="24"/>
                </w:rPr>
                <m:t>Hm</m:t>
              </m:r>
              <m:ctrlPr>
                <w:rPr>
                  <w:rFonts w:ascii="Cambria Math" w:hAnsi="Cambria Math" w:eastAsiaTheme="minorEastAsia"/>
                  <w:i/>
                  <w:sz w:val="24"/>
                </w:rPr>
              </m:ctrlPr>
            </m:den>
          </m:f>
          <m:r>
            <m:rPr/>
            <w:rPr>
              <w:rFonts w:ascii="Cambria Math" w:hAnsi="Cambria Math" w:eastAsiaTheme="minorEastAsia"/>
              <w:sz w:val="24"/>
            </w:rPr>
            <m:t>∗</m:t>
          </m:r>
          <m:f>
            <m:fPr>
              <m:ctrlPr>
                <w:rPr>
                  <w:rFonts w:ascii="Cambria Math" w:hAnsi="Cambria Math" w:eastAsiaTheme="minorEastAsia"/>
                  <w:i/>
                  <w:sz w:val="24"/>
                </w:rPr>
              </m:ctrlPr>
            </m:fPr>
            <m:num>
              <m:r>
                <m:rPr/>
                <w:rPr>
                  <w:rFonts w:ascii="Cambria Math" w:hAnsi="Cambria Math" w:eastAsiaTheme="minorEastAsia"/>
                  <w:sz w:val="24"/>
                </w:rPr>
                <m:t>1</m:t>
              </m:r>
              <m:ctrlPr>
                <w:rPr>
                  <w:rFonts w:ascii="Cambria Math" w:hAnsi="Cambria Math" w:eastAsiaTheme="minorEastAsia"/>
                  <w:i/>
                  <w:sz w:val="24"/>
                </w:rPr>
              </m:ctrlPr>
            </m:num>
            <m:den>
              <m:r>
                <m:rPr/>
                <w:rPr>
                  <w:rFonts w:hint="eastAsia" w:ascii="Cambria Math" w:hAnsi="Cambria Math" w:eastAsiaTheme="minorEastAsia"/>
                  <w:sz w:val="24"/>
                </w:rPr>
                <m:t>k</m:t>
              </m:r>
              <m:ctrlPr>
                <w:rPr>
                  <w:rFonts w:ascii="Cambria Math" w:hAnsi="Cambria Math" w:eastAsiaTheme="minorEastAsia"/>
                  <w:i/>
                  <w:sz w:val="24"/>
                </w:rPr>
              </m:ctrlPr>
            </m:den>
          </m:f>
          <m:r>
            <m:rPr/>
            <w:rPr>
              <w:rFonts w:ascii="Cambria Math" w:hAnsi="Cambria Math" w:eastAsiaTheme="minorEastAsia"/>
              <w:sz w:val="24"/>
            </w:rPr>
            <m:t>∗</m:t>
          </m:r>
          <m:f>
            <m:fPr>
              <m:ctrlPr>
                <w:rPr>
                  <w:rFonts w:ascii="Cambria Math" w:hAnsi="Cambria Math" w:eastAsiaTheme="minorEastAsia"/>
                  <w:i/>
                  <w:sz w:val="24"/>
                </w:rPr>
              </m:ctrlPr>
            </m:fPr>
            <m:num>
              <m:r>
                <m:rPr/>
                <w:rPr>
                  <w:rFonts w:ascii="Cambria Math" w:hAnsi="Cambria Math" w:eastAsiaTheme="minorEastAsia"/>
                  <w:sz w:val="24"/>
                </w:rPr>
                <m:t>1</m:t>
              </m:r>
              <m:ctrlPr>
                <w:rPr>
                  <w:rFonts w:ascii="Cambria Math" w:hAnsi="Cambria Math" w:eastAsiaTheme="minorEastAsia"/>
                  <w:i/>
                  <w:sz w:val="24"/>
                </w:rPr>
              </m:ctrlPr>
            </m:num>
            <m:den>
              <m:rad>
                <m:radPr>
                  <m:degHide m:val="1"/>
                  <m:ctrlPr>
                    <w:rPr>
                      <w:rFonts w:ascii="Cambria Math" w:hAnsi="Cambria Math" w:eastAsiaTheme="minorEastAsia"/>
                      <w:i/>
                      <w:sz w:val="24"/>
                    </w:rPr>
                  </m:ctrlPr>
                </m:radPr>
                <m:deg>
                  <m:ctrlPr>
                    <w:rPr>
                      <w:rFonts w:ascii="Cambria Math" w:hAnsi="Cambria Math" w:eastAsiaTheme="minorEastAsia"/>
                      <w:i/>
                      <w:sz w:val="24"/>
                    </w:rPr>
                  </m:ctrlPr>
                </m:deg>
                <m:e>
                  <m:r>
                    <m:rPr/>
                    <w:rPr>
                      <w:rFonts w:hint="eastAsia" w:ascii="Cambria Math" w:hAnsi="Cambria Math" w:eastAsiaTheme="minorEastAsia"/>
                      <w:sz w:val="24"/>
                    </w:rPr>
                    <m:t>n</m:t>
                  </m:r>
                  <m:ctrlPr>
                    <w:rPr>
                      <w:rFonts w:ascii="Cambria Math" w:hAnsi="Cambria Math" w:eastAsiaTheme="minorEastAsia"/>
                      <w:i/>
                      <w:sz w:val="24"/>
                    </w:rPr>
                  </m:ctrlPr>
                </m:e>
              </m:rad>
              <m:ctrlPr>
                <w:rPr>
                  <w:rFonts w:ascii="Cambria Math" w:hAnsi="Cambria Math" w:eastAsiaTheme="minorEastAsia"/>
                  <w:i/>
                  <w:sz w:val="24"/>
                </w:rPr>
              </m:ctrlPr>
            </m:den>
          </m:f>
          <m:r>
            <m:rPr/>
            <w:rPr>
              <w:rFonts w:ascii="Cambria Math" w:hAnsi="Cambria Math" w:eastAsiaTheme="minorEastAsia"/>
              <w:sz w:val="24"/>
            </w:rPr>
            <m:t>=</m:t>
          </m:r>
          <m:f>
            <m:fPr>
              <m:ctrlPr>
                <w:rPr>
                  <w:rFonts w:ascii="Cambria Math" w:hAnsi="Cambria Math" w:eastAsiaTheme="minorEastAsia"/>
                  <w:i/>
                  <w:sz w:val="24"/>
                </w:rPr>
              </m:ctrlPr>
            </m:fPr>
            <m:num>
              <m:r>
                <m:rPr/>
                <w:rPr>
                  <w:rFonts w:ascii="Cambria Math" w:hAnsi="Cambria Math" w:eastAsiaTheme="minorEastAsia"/>
                  <w:sz w:val="24"/>
                </w:rPr>
                <m:t>0.29</m:t>
              </m:r>
              <m:ctrlPr>
                <w:rPr>
                  <w:rFonts w:ascii="Cambria Math" w:hAnsi="Cambria Math" w:eastAsiaTheme="minorEastAsia"/>
                  <w:i/>
                  <w:sz w:val="24"/>
                </w:rPr>
              </m:ctrlPr>
            </m:num>
            <m:den>
              <m:r>
                <m:rPr/>
                <w:rPr>
                  <w:rFonts w:ascii="Cambria Math" w:hAnsi="Cambria Math" w:eastAsiaTheme="minorEastAsia"/>
                  <w:sz w:val="24"/>
                </w:rPr>
                <m:t>0.39</m:t>
              </m:r>
              <m:ctrlPr>
                <w:rPr>
                  <w:rFonts w:ascii="Cambria Math" w:hAnsi="Cambria Math" w:eastAsiaTheme="minorEastAsia"/>
                  <w:i/>
                  <w:sz w:val="24"/>
                </w:rPr>
              </m:ctrlPr>
            </m:den>
          </m:f>
          <m:r>
            <m:rPr/>
            <w:rPr>
              <w:rFonts w:ascii="Cambria Math" w:hAnsi="Cambria Math" w:eastAsiaTheme="minorEastAsia"/>
              <w:sz w:val="24"/>
            </w:rPr>
            <m:t>∗</m:t>
          </m:r>
          <m:f>
            <m:fPr>
              <m:ctrlPr>
                <w:rPr>
                  <w:rFonts w:ascii="Cambria Math" w:hAnsi="Cambria Math" w:eastAsiaTheme="minorEastAsia"/>
                  <w:i/>
                  <w:sz w:val="24"/>
                </w:rPr>
              </m:ctrlPr>
            </m:fPr>
            <m:num>
              <m:r>
                <m:rPr/>
                <w:rPr>
                  <w:rFonts w:ascii="Cambria Math" w:hAnsi="Cambria Math" w:eastAsiaTheme="minorEastAsia"/>
                  <w:sz w:val="24"/>
                </w:rPr>
                <m:t>1</m:t>
              </m:r>
              <m:ctrlPr>
                <w:rPr>
                  <w:rFonts w:ascii="Cambria Math" w:hAnsi="Cambria Math" w:eastAsiaTheme="minorEastAsia"/>
                  <w:i/>
                  <w:sz w:val="24"/>
                </w:rPr>
              </m:ctrlPr>
            </m:num>
            <m:den>
              <m:r>
                <m:rPr/>
                <w:rPr>
                  <w:rFonts w:ascii="Cambria Math" w:hAnsi="Cambria Math" w:eastAsiaTheme="minorEastAsia"/>
                  <w:sz w:val="24"/>
                </w:rPr>
                <m:t>2</m:t>
              </m:r>
              <m:ctrlPr>
                <w:rPr>
                  <w:rFonts w:ascii="Cambria Math" w:hAnsi="Cambria Math" w:eastAsiaTheme="minorEastAsia"/>
                  <w:i/>
                  <w:sz w:val="24"/>
                </w:rPr>
              </m:ctrlPr>
            </m:den>
          </m:f>
          <m:r>
            <m:rPr/>
            <w:rPr>
              <w:rFonts w:ascii="Cambria Math" w:hAnsi="Cambria Math" w:eastAsiaTheme="minorEastAsia"/>
              <w:sz w:val="24"/>
            </w:rPr>
            <m:t>∗</m:t>
          </m:r>
          <m:f>
            <m:fPr>
              <m:ctrlPr>
                <w:rPr>
                  <w:rFonts w:ascii="Cambria Math" w:hAnsi="Cambria Math" w:eastAsiaTheme="minorEastAsia"/>
                  <w:i/>
                  <w:sz w:val="24"/>
                </w:rPr>
              </m:ctrlPr>
            </m:fPr>
            <m:num>
              <m:r>
                <m:rPr/>
                <w:rPr>
                  <w:rFonts w:ascii="Cambria Math" w:hAnsi="Cambria Math" w:eastAsiaTheme="minorEastAsia"/>
                  <w:sz w:val="24"/>
                </w:rPr>
                <m:t>1</m:t>
              </m:r>
              <m:ctrlPr>
                <w:rPr>
                  <w:rFonts w:ascii="Cambria Math" w:hAnsi="Cambria Math" w:eastAsiaTheme="minorEastAsia"/>
                  <w:i/>
                  <w:sz w:val="24"/>
                </w:rPr>
              </m:ctrlPr>
            </m:num>
            <m:den>
              <m:rad>
                <m:radPr>
                  <m:degHide m:val="1"/>
                  <m:ctrlPr>
                    <w:rPr>
                      <w:rFonts w:ascii="Cambria Math" w:hAnsi="Cambria Math" w:eastAsiaTheme="minorEastAsia"/>
                      <w:i/>
                      <w:sz w:val="24"/>
                    </w:rPr>
                  </m:ctrlPr>
                </m:radPr>
                <m:deg>
                  <m:ctrlPr>
                    <w:rPr>
                      <w:rFonts w:ascii="Cambria Math" w:hAnsi="Cambria Math" w:eastAsiaTheme="minorEastAsia"/>
                      <w:i/>
                      <w:sz w:val="24"/>
                    </w:rPr>
                  </m:ctrlPr>
                </m:deg>
                <m:e>
                  <m:r>
                    <m:rPr/>
                    <w:rPr>
                      <w:rFonts w:ascii="Cambria Math" w:hAnsi="Cambria Math" w:eastAsiaTheme="minorEastAsia"/>
                      <w:sz w:val="24"/>
                    </w:rPr>
                    <m:t>6</m:t>
                  </m:r>
                  <m:ctrlPr>
                    <w:rPr>
                      <w:rFonts w:ascii="Cambria Math" w:hAnsi="Cambria Math" w:eastAsiaTheme="minorEastAsia"/>
                      <w:i/>
                      <w:sz w:val="24"/>
                    </w:rPr>
                  </m:ctrlPr>
                </m:e>
              </m:rad>
              <m:ctrlPr>
                <w:rPr>
                  <w:rFonts w:ascii="Cambria Math" w:hAnsi="Cambria Math" w:eastAsiaTheme="minorEastAsia"/>
                  <w:i/>
                  <w:sz w:val="24"/>
                </w:rPr>
              </m:ctrlPr>
            </m:den>
          </m:f>
          <m:r>
            <m:rPr/>
            <w:rPr>
              <w:rFonts w:ascii="Cambria Math" w:hAnsi="Cambria Math" w:eastAsiaTheme="minorEastAsia"/>
              <w:sz w:val="24"/>
            </w:rPr>
            <m:t>=0.15</m:t>
          </m:r>
        </m:oMath>
      </m:oMathPara>
    </w:p>
    <w:p w14:paraId="09D6B20A">
      <w:pPr>
        <w:autoSpaceDE w:val="0"/>
        <w:autoSpaceDN w:val="0"/>
        <w:adjustRightInd w:val="0"/>
        <w:spacing w:line="360" w:lineRule="auto"/>
        <w:ind w:firstLine="480" w:firstLineChars="200"/>
        <w:jc w:val="left"/>
        <w:rPr>
          <w:rFonts w:eastAsiaTheme="minorEastAsia"/>
          <w:sz w:val="24"/>
        </w:rPr>
      </w:pPr>
      <w:r>
        <w:rPr>
          <w:rFonts w:hint="eastAsia" w:eastAsiaTheme="minorEastAsia"/>
          <w:sz w:val="24"/>
        </w:rPr>
        <w:t>式中，</w:t>
      </w:r>
    </w:p>
    <w:p w14:paraId="6EC04257">
      <w:pPr>
        <w:autoSpaceDE w:val="0"/>
        <w:autoSpaceDN w:val="0"/>
        <w:adjustRightInd w:val="0"/>
        <w:spacing w:line="360" w:lineRule="auto"/>
        <w:ind w:firstLine="480" w:firstLineChars="200"/>
        <w:jc w:val="left"/>
        <w:rPr>
          <w:rFonts w:eastAsiaTheme="minorEastAsia"/>
          <w:sz w:val="24"/>
        </w:rPr>
      </w:pPr>
      <w:r>
        <w:rPr>
          <w:rFonts w:hint="eastAsia" w:eastAsiaTheme="minorEastAsia"/>
          <w:i/>
          <w:iCs/>
          <w:sz w:val="24"/>
        </w:rPr>
        <w:t>k</w:t>
      </w:r>
      <w:r>
        <w:rPr>
          <w:rFonts w:hint="eastAsia" w:eastAsiaTheme="minorEastAsia"/>
          <w:sz w:val="24"/>
        </w:rPr>
        <w:t xml:space="preserve">—包含因子，在此处 </w:t>
      </w:r>
      <w:r>
        <w:rPr>
          <w:rFonts w:hint="eastAsia" w:eastAsiaTheme="minorEastAsia"/>
          <w:i/>
          <w:iCs/>
          <w:sz w:val="24"/>
        </w:rPr>
        <w:t>k</w:t>
      </w:r>
      <w:r>
        <w:rPr>
          <w:rFonts w:eastAsiaTheme="minorEastAsia"/>
          <w:sz w:val="24"/>
        </w:rPr>
        <w:t>=2</w:t>
      </w:r>
      <w:r>
        <w:rPr>
          <w:rFonts w:hint="eastAsia" w:eastAsiaTheme="minorEastAsia"/>
          <w:sz w:val="24"/>
        </w:rPr>
        <w:t>；</w:t>
      </w:r>
    </w:p>
    <w:p w14:paraId="64368122">
      <w:pPr>
        <w:autoSpaceDE w:val="0"/>
        <w:autoSpaceDN w:val="0"/>
        <w:adjustRightInd w:val="0"/>
        <w:spacing w:line="360" w:lineRule="auto"/>
        <w:ind w:firstLine="480" w:firstLineChars="200"/>
        <w:jc w:val="left"/>
        <w:rPr>
          <w:rFonts w:eastAsiaTheme="minorEastAsia"/>
          <w:sz w:val="24"/>
        </w:rPr>
      </w:pPr>
      <w:r>
        <w:rPr>
          <w:rFonts w:hint="eastAsia" w:eastAsiaTheme="minorEastAsia"/>
          <w:i/>
          <w:iCs/>
          <w:sz w:val="24"/>
        </w:rPr>
        <w:t>n</w:t>
      </w:r>
      <w:r>
        <w:rPr>
          <w:rFonts w:hint="eastAsia" w:eastAsiaTheme="minorEastAsia"/>
          <w:sz w:val="24"/>
        </w:rPr>
        <w:t xml:space="preserve">—测量次数，在此处 </w:t>
      </w:r>
      <w:r>
        <w:rPr>
          <w:rFonts w:hint="eastAsia" w:eastAsiaTheme="minorEastAsia"/>
          <w:i/>
          <w:iCs/>
          <w:sz w:val="24"/>
        </w:rPr>
        <w:t>n</w:t>
      </w:r>
      <w:r>
        <w:rPr>
          <w:rFonts w:eastAsiaTheme="minorEastAsia"/>
          <w:sz w:val="24"/>
        </w:rPr>
        <w:t>=6.</w:t>
      </w:r>
    </w:p>
    <w:p w14:paraId="548C20C5">
      <w:pPr>
        <w:autoSpaceDE w:val="0"/>
        <w:autoSpaceDN w:val="0"/>
        <w:adjustRightInd w:val="0"/>
        <w:spacing w:line="360" w:lineRule="auto"/>
        <w:ind w:firstLine="480" w:firstLineChars="200"/>
        <w:jc w:val="left"/>
        <w:rPr>
          <w:rFonts w:eastAsiaTheme="minorEastAsia"/>
          <w:sz w:val="24"/>
        </w:rPr>
      </w:pPr>
      <w:r>
        <w:rPr>
          <w:rFonts w:hint="eastAsia" w:eastAsiaTheme="minorEastAsia"/>
          <w:sz w:val="24"/>
        </w:rPr>
        <w:t>6次测量结果的测量值为4</w:t>
      </w:r>
      <w:r>
        <w:rPr>
          <w:rFonts w:eastAsiaTheme="minorEastAsia"/>
          <w:sz w:val="24"/>
        </w:rPr>
        <w:t xml:space="preserve">.0 </w:t>
      </w:r>
      <w:r>
        <w:rPr>
          <w:rFonts w:hint="eastAsia" w:eastAsiaTheme="minorEastAsia"/>
          <w:sz w:val="24"/>
        </w:rPr>
        <w:t>nm，标准偏差为0</w:t>
      </w:r>
      <w:r>
        <w:rPr>
          <w:rFonts w:eastAsiaTheme="minorEastAsia"/>
          <w:sz w:val="24"/>
        </w:rPr>
        <w:t xml:space="preserve">.1 </w:t>
      </w:r>
      <w:r>
        <w:rPr>
          <w:rFonts w:hint="eastAsia" w:eastAsiaTheme="minorEastAsia"/>
          <w:sz w:val="24"/>
        </w:rPr>
        <w:t>nm。</w:t>
      </w:r>
      <w:r>
        <w:rPr>
          <w:rFonts w:hint="eastAsia"/>
          <w:sz w:val="24"/>
        </w:rPr>
        <w:t>标准物质测量重复性引入的相对不确定度为</w:t>
      </w:r>
    </w:p>
    <w:p w14:paraId="06EA448D">
      <w:pPr>
        <w:autoSpaceDE w:val="0"/>
        <w:autoSpaceDN w:val="0"/>
        <w:adjustRightInd w:val="0"/>
        <w:spacing w:line="360" w:lineRule="auto"/>
        <w:jc w:val="left"/>
        <w:rPr>
          <w:rFonts w:eastAsiaTheme="minorEastAsia"/>
          <w:sz w:val="24"/>
        </w:rPr>
      </w:pPr>
      <w:r>
        <w:rPr>
          <w:rFonts w:eastAsiaTheme="minorEastAsia"/>
          <w:sz w:val="24"/>
        </w:rPr>
        <w:t xml:space="preserve">   </w:t>
      </w:r>
      <m:oMath>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Hm,rel</m:t>
            </m:r>
            <m:ctrlPr>
              <w:rPr>
                <w:rFonts w:ascii="Cambria Math" w:hAnsi="Cambria Math" w:eastAsiaTheme="minorEastAsia"/>
                <w:i/>
                <w:sz w:val="24"/>
              </w:rPr>
            </m:ctrlPr>
          </m:sub>
          <m:sup>
            <m:ctrlPr>
              <w:rPr>
                <w:rFonts w:ascii="Cambria Math" w:hAnsi="Cambria Math" w:eastAsiaTheme="minorEastAsia"/>
                <w:i/>
                <w:sz w:val="24"/>
              </w:rPr>
            </m:ctrlPr>
          </m:sup>
        </m:sSubSup>
        <m:r>
          <m:rPr/>
          <w:rPr>
            <w:rFonts w:ascii="Cambria Math" w:hAnsi="Cambria Math" w:eastAsiaTheme="minorEastAsia"/>
            <w:sz w:val="24"/>
          </w:rPr>
          <m:t>=</m:t>
        </m:r>
        <m:f>
          <m:fPr>
            <m:ctrlPr>
              <w:rPr>
                <w:rFonts w:ascii="Cambria Math" w:hAnsi="Cambria Math" w:eastAsiaTheme="minorEastAsia"/>
                <w:i/>
                <w:sz w:val="24"/>
              </w:rPr>
            </m:ctrlPr>
          </m:fPr>
          <m:num>
            <m:r>
              <m:rPr/>
              <w:rPr>
                <w:rFonts w:ascii="Cambria Math" w:hAnsi="Cambria Math" w:eastAsiaTheme="minorEastAsia"/>
                <w:sz w:val="24"/>
              </w:rPr>
              <m:t>0.1</m:t>
            </m:r>
            <m:ctrlPr>
              <w:rPr>
                <w:rFonts w:ascii="Cambria Math" w:hAnsi="Cambria Math" w:eastAsiaTheme="minorEastAsia"/>
                <w:i/>
                <w:sz w:val="24"/>
              </w:rPr>
            </m:ctrlPr>
          </m:num>
          <m:den>
            <m:r>
              <m:rPr/>
              <w:rPr>
                <w:rFonts w:ascii="Cambria Math" w:hAnsi="Cambria Math" w:eastAsiaTheme="minorEastAsia"/>
                <w:sz w:val="24"/>
              </w:rPr>
              <m:t>4.0</m:t>
            </m:r>
            <m:ctrlPr>
              <w:rPr>
                <w:rFonts w:ascii="Cambria Math" w:hAnsi="Cambria Math" w:eastAsiaTheme="minorEastAsia"/>
                <w:i/>
                <w:sz w:val="24"/>
              </w:rPr>
            </m:ctrlPr>
          </m:den>
        </m:f>
        <m:r>
          <m:rPr/>
          <w:rPr>
            <w:rFonts w:ascii="Cambria Math" w:hAnsi="Cambria Math" w:eastAsiaTheme="minorEastAsia"/>
            <w:sz w:val="24"/>
          </w:rPr>
          <m:t>=0.025</m:t>
        </m:r>
      </m:oMath>
    </w:p>
    <w:p w14:paraId="2C869312">
      <w:pPr>
        <w:autoSpaceDE w:val="0"/>
        <w:autoSpaceDN w:val="0"/>
        <w:adjustRightInd w:val="0"/>
        <w:spacing w:line="360" w:lineRule="auto"/>
        <w:jc w:val="left"/>
        <w:rPr>
          <w:rFonts w:eastAsiaTheme="minorEastAsia"/>
          <w:sz w:val="24"/>
        </w:rPr>
      </w:pPr>
      <w:r>
        <w:rPr>
          <w:rFonts w:hint="eastAsia" w:eastAsiaTheme="minorEastAsia"/>
          <w:sz w:val="24"/>
        </w:rPr>
        <w:t xml:space="preserve"> </w:t>
      </w:r>
      <w:r>
        <w:rPr>
          <w:rFonts w:eastAsiaTheme="minorEastAsia"/>
          <w:sz w:val="24"/>
        </w:rPr>
        <w:t xml:space="preserve">  </w:t>
      </w:r>
    </w:p>
    <w:p w14:paraId="35D6B8F8">
      <w:pPr>
        <w:autoSpaceDE w:val="0"/>
        <w:autoSpaceDN w:val="0"/>
        <w:adjustRightInd w:val="0"/>
        <w:spacing w:line="360" w:lineRule="auto"/>
        <w:jc w:val="left"/>
        <w:rPr>
          <w:rFonts w:eastAsia="TimesNewRomanPSMT"/>
          <w:b/>
          <w:bCs/>
          <w:kern w:val="0"/>
          <w:sz w:val="24"/>
        </w:rPr>
      </w:pPr>
      <w:r>
        <w:rPr>
          <w:rFonts w:hint="eastAsia" w:eastAsiaTheme="minorEastAsia"/>
          <w:kern w:val="0"/>
          <w:sz w:val="24"/>
        </w:rPr>
        <w:t>A</w:t>
      </w:r>
      <w:r>
        <w:rPr>
          <w:rFonts w:eastAsia="TimesNewRomanPSMT"/>
          <w:kern w:val="0"/>
          <w:sz w:val="24"/>
        </w:rPr>
        <w:t>.</w:t>
      </w:r>
      <w:r>
        <w:rPr>
          <w:rFonts w:hint="eastAsia" w:eastAsiaTheme="minorEastAsia"/>
          <w:kern w:val="0"/>
          <w:sz w:val="24"/>
        </w:rPr>
        <w:t>1</w:t>
      </w:r>
      <w:r>
        <w:rPr>
          <w:rFonts w:eastAsia="TimesNewRomanPSMT"/>
          <w:kern w:val="0"/>
          <w:sz w:val="24"/>
        </w:rPr>
        <w:t xml:space="preserve">.2.2 </w:t>
      </w:r>
      <w:r>
        <w:rPr>
          <w:rFonts w:hint="eastAsia" w:eastAsiaTheme="minorEastAsia"/>
          <w:kern w:val="0"/>
          <w:sz w:val="24"/>
        </w:rPr>
        <w:t>测量</w:t>
      </w:r>
      <w:r>
        <w:rPr>
          <w:rFonts w:eastAsiaTheme="minorEastAsia"/>
          <w:kern w:val="0"/>
          <w:sz w:val="24"/>
        </w:rPr>
        <w:t>过程引入的不确定度</w:t>
      </w:r>
    </w:p>
    <w:p w14:paraId="2F870C25">
      <w:pPr>
        <w:spacing w:line="360" w:lineRule="auto"/>
        <w:ind w:firstLine="480" w:firstLineChars="200"/>
        <w:rPr>
          <w:sz w:val="24"/>
        </w:rPr>
      </w:pPr>
      <w:r>
        <w:rPr>
          <w:rFonts w:hint="eastAsia"/>
          <w:sz w:val="24"/>
        </w:rPr>
        <w:t>选取1</w:t>
      </w:r>
      <w:r>
        <w:rPr>
          <w:sz w:val="24"/>
        </w:rPr>
        <w:t>0</w:t>
      </w:r>
      <w:r>
        <w:rPr>
          <w:rFonts w:hint="eastAsia"/>
          <w:sz w:val="24"/>
        </w:rPr>
        <w:t>个片层进行测量，</w:t>
      </w:r>
      <w:r>
        <w:rPr>
          <w:sz w:val="24"/>
        </w:rPr>
        <w:t>厚度平均值 1.</w:t>
      </w:r>
      <w:r>
        <w:rPr>
          <w:rFonts w:hint="eastAsia"/>
          <w:sz w:val="24"/>
        </w:rPr>
        <w:t>2</w:t>
      </w:r>
      <w:r>
        <w:rPr>
          <w:sz w:val="24"/>
        </w:rPr>
        <w:t xml:space="preserve"> nm</w:t>
      </w:r>
      <w:r>
        <w:rPr>
          <w:rFonts w:hint="eastAsia"/>
          <w:sz w:val="24"/>
        </w:rPr>
        <w:t>，</w:t>
      </w:r>
      <w:r>
        <w:rPr>
          <w:sz w:val="24"/>
        </w:rPr>
        <w:t>厚度标准偏差</w:t>
      </w:r>
      <w:r>
        <w:rPr>
          <w:rFonts w:hint="eastAsia"/>
          <w:sz w:val="24"/>
        </w:rPr>
        <w:t>0.1</w:t>
      </w:r>
      <w:r>
        <w:rPr>
          <w:sz w:val="24"/>
        </w:rPr>
        <w:t xml:space="preserve"> nm</w:t>
      </w:r>
      <w:r>
        <w:rPr>
          <w:rFonts w:hint="eastAsia"/>
          <w:sz w:val="24"/>
        </w:rPr>
        <w:t>，相对标准偏差记为</w:t>
      </w:r>
      <w:r>
        <w:rPr>
          <w:rFonts w:eastAsiaTheme="minorEastAsia"/>
          <w:i/>
          <w:iCs/>
          <w:sz w:val="24"/>
        </w:rPr>
        <w:t>u</w:t>
      </w:r>
      <w:r>
        <w:rPr>
          <w:rFonts w:hint="eastAsia" w:eastAsiaTheme="minorEastAsia"/>
          <w:sz w:val="24"/>
          <w:vertAlign w:val="subscript"/>
        </w:rPr>
        <w:t>s</w:t>
      </w:r>
      <w:r>
        <w:rPr>
          <w:rFonts w:eastAsiaTheme="minorEastAsia"/>
          <w:sz w:val="24"/>
          <w:vertAlign w:val="subscript"/>
        </w:rPr>
        <w:t>,rel</w:t>
      </w:r>
      <w:r>
        <w:rPr>
          <w:rFonts w:hint="eastAsia"/>
          <w:sz w:val="24"/>
        </w:rPr>
        <w:t>，</w:t>
      </w:r>
      <w:r>
        <w:rPr>
          <w:rFonts w:eastAsiaTheme="minorEastAsia"/>
          <w:i/>
          <w:iCs/>
          <w:sz w:val="24"/>
        </w:rPr>
        <w:t>u</w:t>
      </w:r>
      <w:r>
        <w:rPr>
          <w:rFonts w:hint="eastAsia" w:eastAsiaTheme="minorEastAsia"/>
          <w:sz w:val="24"/>
          <w:vertAlign w:val="subscript"/>
        </w:rPr>
        <w:t>s</w:t>
      </w:r>
      <w:r>
        <w:rPr>
          <w:rFonts w:eastAsiaTheme="minorEastAsia"/>
          <w:sz w:val="24"/>
          <w:vertAlign w:val="subscript"/>
        </w:rPr>
        <w:t>,rel</w:t>
      </w:r>
      <w:r>
        <w:rPr>
          <w:rFonts w:eastAsiaTheme="minorEastAsia"/>
          <w:sz w:val="24"/>
        </w:rPr>
        <w:t>=0.1/1.2=</w:t>
      </w:r>
      <w:r>
        <w:rPr>
          <w:rFonts w:hint="eastAsia"/>
          <w:sz w:val="24"/>
        </w:rPr>
        <w:t>0</w:t>
      </w:r>
      <w:r>
        <w:rPr>
          <w:sz w:val="24"/>
        </w:rPr>
        <w:t>.083.</w:t>
      </w:r>
    </w:p>
    <w:p w14:paraId="665CC016">
      <w:pPr>
        <w:spacing w:line="360" w:lineRule="auto"/>
        <w:rPr>
          <w:sz w:val="24"/>
        </w:rPr>
      </w:pPr>
    </w:p>
    <w:p w14:paraId="4FA6352D">
      <w:pPr>
        <w:pStyle w:val="16"/>
        <w:adjustRightInd w:val="0"/>
        <w:snapToGrid w:val="0"/>
        <w:spacing w:before="0" w:beforeAutospacing="0" w:after="0" w:afterAutospacing="0" w:line="360" w:lineRule="auto"/>
        <w:rPr>
          <w:rFonts w:hint="eastAsia"/>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.2.3</w:t>
      </w:r>
      <w:r>
        <w:rPr>
          <w:rFonts w:hint="eastAsia" w:ascii="Times New Roman" w:hAnsi="Times New Roman" w:cs="Times New Roman"/>
          <w:color w:val="000000" w:themeColor="text1"/>
          <w14:textFill>
            <w14:solidFill>
              <w14:schemeClr w14:val="tx1"/>
            </w14:solidFill>
          </w14:textFill>
        </w:rPr>
        <w:t>合成标准不确定度</w:t>
      </w:r>
    </w:p>
    <w:p w14:paraId="3652CFBF">
      <w:pPr>
        <w:pStyle w:val="16"/>
        <w:adjustRightInd w:val="0"/>
        <w:snapToGrid w:val="0"/>
        <w:spacing w:before="0" w:beforeAutospacing="0" w:after="0" w:afterAutospacing="0" w:line="360" w:lineRule="auto"/>
        <w:ind w:firstLine="480" w:firstLineChars="200"/>
        <w:rPr>
          <w:rFonts w:hint="eastAsia" w:cs="Times New Roman"/>
        </w:rPr>
      </w:pPr>
      <w:r>
        <w:rPr>
          <w:rFonts w:hint="eastAsia" w:cs="Times New Roman"/>
        </w:rPr>
        <w:t>合成标准不确定度包括校准引入的不确定度和测量引入的不确定度等因素。合成标准不确定度用</w:t>
      </w:r>
      <w:r>
        <w:rPr>
          <w:rFonts w:ascii="Times New Roman" w:hAnsi="Times New Roman" w:cs="Times New Roman"/>
          <w:i/>
          <w:iCs/>
        </w:rPr>
        <w:t>u</w:t>
      </w:r>
      <w:r>
        <w:rPr>
          <w:rFonts w:ascii="Times New Roman" w:hAnsi="Times New Roman" w:cs="Times New Roman"/>
          <w:vertAlign w:val="subscript"/>
        </w:rPr>
        <w:t>c</w:t>
      </w:r>
      <w:r>
        <w:rPr>
          <w:rFonts w:hint="eastAsia" w:cs="Times New Roman"/>
        </w:rPr>
        <w:t>表示，合成相对标准不确定度用</w:t>
      </w:r>
      <w:r>
        <w:rPr>
          <w:rFonts w:ascii="Times New Roman" w:hAnsi="Times New Roman" w:cs="Times New Roman"/>
          <w:i/>
          <w:iCs/>
        </w:rPr>
        <w:t>u</w:t>
      </w:r>
      <w:r>
        <w:rPr>
          <w:rFonts w:ascii="Times New Roman" w:hAnsi="Times New Roman" w:cs="Times New Roman"/>
          <w:vertAlign w:val="subscript"/>
        </w:rPr>
        <w:t>c</w:t>
      </w:r>
      <w:r>
        <w:rPr>
          <w:rFonts w:hint="eastAsia" w:ascii="Times New Roman" w:hAnsi="Times New Roman" w:cs="Times New Roman"/>
          <w:vertAlign w:val="subscript"/>
        </w:rPr>
        <w:t>，rel</w:t>
      </w:r>
      <w:r>
        <w:rPr>
          <w:rFonts w:hint="eastAsia" w:cs="Times New Roman"/>
        </w:rPr>
        <w:t>表示，</w:t>
      </w:r>
    </w:p>
    <w:p w14:paraId="08B4118B">
      <w:pPr>
        <w:autoSpaceDE w:val="0"/>
        <w:autoSpaceDN w:val="0"/>
        <w:adjustRightInd w:val="0"/>
        <w:spacing w:line="360" w:lineRule="auto"/>
        <w:ind w:firstLine="360" w:firstLineChars="150"/>
        <w:jc w:val="left"/>
        <w:rPr>
          <w:rFonts w:eastAsia="TimesNewRomanPSMT"/>
          <w:sz w:val="24"/>
        </w:rPr>
      </w:pPr>
      <w:r>
        <w:rPr>
          <w:rFonts w:eastAsiaTheme="minorEastAsia"/>
          <w:i/>
          <w:iCs/>
          <w:sz w:val="24"/>
        </w:rPr>
        <w:t>u</w:t>
      </w:r>
      <w:r>
        <w:rPr>
          <w:rFonts w:hint="eastAsia" w:eastAsiaTheme="minorEastAsia"/>
          <w:sz w:val="24"/>
          <w:vertAlign w:val="subscript"/>
        </w:rPr>
        <w:t>c</w:t>
      </w:r>
      <w:r>
        <w:rPr>
          <w:rFonts w:eastAsiaTheme="minorEastAsia"/>
          <w:sz w:val="24"/>
          <w:vertAlign w:val="subscript"/>
        </w:rPr>
        <w:t>,rel</w:t>
      </w:r>
      <w:r>
        <w:rPr>
          <w:rFonts w:asciiTheme="minorEastAsia" w:hAnsiTheme="minorEastAsia" w:eastAsiaTheme="minorEastAsia"/>
          <w:sz w:val="24"/>
        </w:rPr>
        <w:t>=</w:t>
      </w:r>
      <m:oMath>
        <m:rad>
          <m:radPr>
            <m:degHide m:val="1"/>
            <m:ctrlPr>
              <w:rPr>
                <w:rFonts w:ascii="Cambria Math" w:hAnsi="Cambria Math" w:eastAsiaTheme="minorEastAsia"/>
                <w:i/>
                <w:sz w:val="24"/>
              </w:rPr>
            </m:ctrlPr>
          </m:radPr>
          <m:deg>
            <m:ctrlPr>
              <w:rPr>
                <w:rFonts w:ascii="Cambria Math" w:hAnsi="Cambria Math" w:eastAsiaTheme="minorEastAsia"/>
                <w:i/>
                <w:sz w:val="24"/>
              </w:rPr>
            </m:ctrlPr>
          </m:deg>
          <m:e>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Hc,rel</m:t>
                </m:r>
                <m:ctrlPr>
                  <w:rPr>
                    <w:rFonts w:ascii="Cambria Math" w:hAnsi="Cambria Math" w:eastAsiaTheme="minorEastAsia"/>
                    <w:i/>
                    <w:sz w:val="24"/>
                  </w:rPr>
                </m:ctrlPr>
              </m:sub>
              <m:sup>
                <m:r>
                  <m:rPr/>
                  <w:rPr>
                    <w:rFonts w:ascii="Cambria Math" w:hAnsi="Cambria Math" w:eastAsiaTheme="minorEastAsia"/>
                    <w:sz w:val="24"/>
                  </w:rPr>
                  <m:t>2</m:t>
                </m:r>
                <m:ctrlPr>
                  <w:rPr>
                    <w:rFonts w:ascii="Cambria Math" w:hAnsi="Cambria Math" w:eastAsiaTheme="minorEastAsia"/>
                    <w:i/>
                    <w:sz w:val="24"/>
                  </w:rPr>
                </m:ctrlPr>
              </m:sup>
            </m:sSubSup>
            <m:r>
              <m:rPr/>
              <w:rPr>
                <w:rFonts w:ascii="Cambria Math" w:hAnsi="Cambria Math" w:eastAsiaTheme="minorEastAsia"/>
                <w:sz w:val="24"/>
              </w:rPr>
              <m:t>+</m:t>
            </m:r>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Hm,rel</m:t>
                </m:r>
                <m:ctrlPr>
                  <w:rPr>
                    <w:rFonts w:ascii="Cambria Math" w:hAnsi="Cambria Math" w:eastAsiaTheme="minorEastAsia"/>
                    <w:i/>
                    <w:sz w:val="24"/>
                  </w:rPr>
                </m:ctrlPr>
              </m:sub>
              <m:sup>
                <m:r>
                  <m:rPr/>
                  <w:rPr>
                    <w:rFonts w:ascii="Cambria Math" w:hAnsi="Cambria Math" w:eastAsiaTheme="minorEastAsia"/>
                    <w:sz w:val="24"/>
                  </w:rPr>
                  <m:t>2</m:t>
                </m:r>
                <m:ctrlPr>
                  <w:rPr>
                    <w:rFonts w:ascii="Cambria Math" w:hAnsi="Cambria Math" w:eastAsiaTheme="minorEastAsia"/>
                    <w:i/>
                    <w:sz w:val="24"/>
                  </w:rPr>
                </m:ctrlPr>
              </m:sup>
            </m:sSubSup>
            <m:r>
              <m:rPr/>
              <w:rPr>
                <w:rFonts w:ascii="Cambria Math" w:hAnsi="Cambria Math" w:eastAsiaTheme="minorEastAsia"/>
                <w:sz w:val="24"/>
              </w:rPr>
              <m:t>+</m:t>
            </m:r>
            <m:sSubSup>
              <m:sSubSupPr>
                <m:ctrlPr>
                  <w:rPr>
                    <w:rFonts w:ascii="Cambria Math" w:hAnsi="Cambria Math" w:eastAsiaTheme="minorEastAsia"/>
                    <w:i/>
                    <w:sz w:val="24"/>
                  </w:rPr>
                </m:ctrlPr>
              </m:sSubSupPr>
              <m:e>
                <m:r>
                  <m:rPr/>
                  <w:rPr>
                    <w:rFonts w:ascii="Cambria Math" w:hAnsi="Cambria Math" w:eastAsiaTheme="minorEastAsia"/>
                    <w:sz w:val="24"/>
                  </w:rPr>
                  <m:t>u</m:t>
                </m:r>
                <m:ctrlPr>
                  <w:rPr>
                    <w:rFonts w:ascii="Cambria Math" w:hAnsi="Cambria Math" w:eastAsiaTheme="minorEastAsia"/>
                    <w:i/>
                    <w:sz w:val="24"/>
                  </w:rPr>
                </m:ctrlPr>
              </m:e>
              <m:sub>
                <m:r>
                  <m:rPr/>
                  <w:rPr>
                    <w:rFonts w:hint="eastAsia" w:ascii="Cambria Math" w:hAnsi="Cambria Math" w:eastAsiaTheme="minorEastAsia"/>
                    <w:sz w:val="24"/>
                  </w:rPr>
                  <m:t>s</m:t>
                </m:r>
                <m:r>
                  <m:rPr/>
                  <w:rPr>
                    <w:rFonts w:ascii="Cambria Math" w:hAnsi="Cambria Math" w:eastAsiaTheme="minorEastAsia"/>
                    <w:sz w:val="24"/>
                  </w:rPr>
                  <m:t>,rel</m:t>
                </m:r>
                <m:ctrlPr>
                  <w:rPr>
                    <w:rFonts w:ascii="Cambria Math" w:hAnsi="Cambria Math" w:eastAsiaTheme="minorEastAsia"/>
                    <w:i/>
                    <w:sz w:val="24"/>
                  </w:rPr>
                </m:ctrlPr>
              </m:sub>
              <m:sup>
                <m:r>
                  <m:rPr/>
                  <w:rPr>
                    <w:rFonts w:ascii="Cambria Math" w:hAnsi="Cambria Math" w:eastAsiaTheme="minorEastAsia"/>
                    <w:sz w:val="24"/>
                  </w:rPr>
                  <m:t>2</m:t>
                </m:r>
                <m:ctrlPr>
                  <w:rPr>
                    <w:rFonts w:ascii="Cambria Math" w:hAnsi="Cambria Math" w:eastAsiaTheme="minorEastAsia"/>
                    <w:i/>
                    <w:sz w:val="24"/>
                  </w:rPr>
                </m:ctrlPr>
              </m:sup>
            </m:sSubSup>
            <m:ctrlPr>
              <w:rPr>
                <w:rFonts w:ascii="Cambria Math" w:hAnsi="Cambria Math" w:eastAsiaTheme="minorEastAsia"/>
                <w:i/>
                <w:sz w:val="24"/>
              </w:rPr>
            </m:ctrlPr>
          </m:e>
        </m:rad>
      </m:oMath>
      <w:r>
        <w:rPr>
          <w:rFonts w:hint="eastAsia" w:asciiTheme="minorEastAsia" w:hAnsiTheme="minorEastAsia" w:eastAsiaTheme="minorEastAsia"/>
          <w:sz w:val="24"/>
        </w:rPr>
        <w:t>=</w:t>
      </w:r>
      <w:r>
        <w:rPr>
          <w:rFonts w:eastAsiaTheme="minorEastAsia"/>
          <w:sz w:val="24"/>
        </w:rPr>
        <w:t xml:space="preserve">0.17  </w:t>
      </w:r>
    </w:p>
    <w:p w14:paraId="6B856FF0">
      <w:pPr>
        <w:spacing w:line="360" w:lineRule="auto"/>
        <w:rPr>
          <w:sz w:val="24"/>
        </w:rPr>
      </w:pPr>
      <w:r>
        <w:rPr>
          <w:rFonts w:hint="eastAsia"/>
          <w:sz w:val="24"/>
        </w:rPr>
        <w:t xml:space="preserve"> </w:t>
      </w:r>
      <w:r>
        <w:rPr>
          <w:sz w:val="24"/>
        </w:rPr>
        <w:t xml:space="preserve">  厚度</w:t>
      </w:r>
      <w:r>
        <w:rPr>
          <w:rFonts w:hint="eastAsia"/>
          <w:sz w:val="24"/>
        </w:rPr>
        <w:t>校准值为测量值*校正比例因子=</w:t>
      </w:r>
      <w:r>
        <w:rPr>
          <w:sz w:val="24"/>
        </w:rPr>
        <w:t>1.</w:t>
      </w:r>
      <w:r>
        <w:rPr>
          <w:rFonts w:hint="eastAsia"/>
          <w:sz w:val="24"/>
        </w:rPr>
        <w:t>2</w:t>
      </w:r>
      <w:r>
        <w:rPr>
          <w:sz w:val="24"/>
        </w:rPr>
        <w:t xml:space="preserve"> nm*0.975=1.17 </w:t>
      </w:r>
      <w:r>
        <w:rPr>
          <w:rFonts w:hint="eastAsia"/>
          <w:sz w:val="24"/>
        </w:rPr>
        <w:t>nm</w:t>
      </w:r>
      <w:r>
        <w:rPr>
          <w:sz w:val="24"/>
        </w:rPr>
        <w:t xml:space="preserve">=1.2 </w:t>
      </w:r>
      <w:r>
        <w:rPr>
          <w:rFonts w:hint="eastAsia"/>
          <w:sz w:val="24"/>
        </w:rPr>
        <w:t>nm</w:t>
      </w:r>
    </w:p>
    <w:p w14:paraId="73C96C9C">
      <w:pPr>
        <w:spacing w:line="360" w:lineRule="auto"/>
        <w:ind w:firstLine="480" w:firstLineChars="200"/>
        <w:rPr>
          <w:sz w:val="24"/>
        </w:rPr>
      </w:pPr>
      <w:r>
        <w:rPr>
          <w:rFonts w:hint="eastAsia"/>
          <w:i/>
          <w:iCs/>
          <w:sz w:val="24"/>
        </w:rPr>
        <w:t>u</w:t>
      </w:r>
      <w:r>
        <w:rPr>
          <w:rFonts w:hint="eastAsia"/>
          <w:sz w:val="24"/>
          <w:vertAlign w:val="subscript"/>
        </w:rPr>
        <w:t>c</w:t>
      </w:r>
      <w:r>
        <w:rPr>
          <w:sz w:val="24"/>
        </w:rPr>
        <w:t>=1.2 nm*0.17=0.2 nm</w:t>
      </w:r>
    </w:p>
    <w:p w14:paraId="38DA6029">
      <w:pPr>
        <w:spacing w:line="360" w:lineRule="auto"/>
        <w:ind w:firstLine="480" w:firstLineChars="200"/>
        <w:rPr>
          <w:sz w:val="24"/>
        </w:rPr>
      </w:pPr>
    </w:p>
    <w:p w14:paraId="7B0BEB26">
      <w:pPr>
        <w:pStyle w:val="16"/>
        <w:adjustRightInd w:val="0"/>
        <w:snapToGrid w:val="0"/>
        <w:spacing w:before="0" w:beforeAutospacing="0" w:after="0" w:afterAutospacing="0" w:line="360" w:lineRule="auto"/>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.2.4</w:t>
      </w:r>
      <w:r>
        <w:rPr>
          <w:rFonts w:hint="eastAsia" w:ascii="Times New Roman" w:hAnsi="Times New Roman" w:cs="Times New Roman"/>
          <w:color w:val="000000" w:themeColor="text1"/>
          <w14:textFill>
            <w14:solidFill>
              <w14:schemeClr w14:val="tx1"/>
            </w14:solidFill>
          </w14:textFill>
        </w:rPr>
        <w:t>合成扩展不确定度</w:t>
      </w:r>
    </w:p>
    <w:p w14:paraId="692106E3">
      <w:pPr>
        <w:autoSpaceDE w:val="0"/>
        <w:autoSpaceDN w:val="0"/>
        <w:adjustRightInd w:val="0"/>
        <w:spacing w:line="360" w:lineRule="auto"/>
        <w:jc w:val="left"/>
        <w:rPr>
          <w:color w:val="000000"/>
          <w:sz w:val="24"/>
        </w:rPr>
      </w:pPr>
      <w:r>
        <w:rPr>
          <w:rFonts w:eastAsiaTheme="minorEastAsia"/>
          <w:b/>
          <w:kern w:val="0"/>
          <w:sz w:val="24"/>
        </w:rPr>
        <w:t xml:space="preserve">   </w:t>
      </w:r>
      <w:r>
        <w:rPr>
          <w:rFonts w:hint="eastAsia"/>
          <w:sz w:val="24"/>
        </w:rPr>
        <w:t>取包含因子</w:t>
      </w:r>
      <w:r>
        <w:rPr>
          <w:rFonts w:hint="eastAsia"/>
          <w:i/>
          <w:sz w:val="24"/>
        </w:rPr>
        <w:t>k</w:t>
      </w:r>
      <w:r>
        <w:rPr>
          <w:rFonts w:hint="eastAsia"/>
          <w:sz w:val="24"/>
        </w:rPr>
        <w:t>=2，</w:t>
      </w:r>
      <w:r>
        <w:rPr>
          <w:sz w:val="24"/>
        </w:rPr>
        <w:t>扩展不确定度为：</w:t>
      </w:r>
      <w:r>
        <w:rPr>
          <w:rFonts w:hint="eastAsia"/>
          <w:color w:val="000000"/>
          <w:sz w:val="24"/>
        </w:rPr>
        <w:t xml:space="preserve"> </w:t>
      </w:r>
    </w:p>
    <w:p w14:paraId="331214EC">
      <w:pPr>
        <w:spacing w:line="360" w:lineRule="auto"/>
        <w:ind w:firstLine="360" w:firstLineChars="150"/>
        <w:rPr>
          <w:sz w:val="24"/>
        </w:rPr>
      </w:pPr>
      <w:r>
        <w:rPr>
          <w:rFonts w:hint="eastAsia"/>
          <w:i/>
          <w:sz w:val="24"/>
        </w:rPr>
        <w:t>U</w:t>
      </w:r>
      <w:r>
        <w:rPr>
          <w:rFonts w:hint="eastAsia"/>
          <w:sz w:val="24"/>
        </w:rPr>
        <w:t xml:space="preserve"> = </w:t>
      </w:r>
      <w:r>
        <w:rPr>
          <w:rFonts w:hint="eastAsia"/>
          <w:i/>
          <w:sz w:val="24"/>
        </w:rPr>
        <w:t>k</w:t>
      </w:r>
      <w:r>
        <w:rPr>
          <w:sz w:val="24"/>
        </w:rPr>
        <w:t>·</w:t>
      </w:r>
      <w:r>
        <w:rPr>
          <w:rFonts w:hint="eastAsia"/>
          <w:i/>
          <w:sz w:val="24"/>
        </w:rPr>
        <w:t>u</w:t>
      </w:r>
      <w:r>
        <w:rPr>
          <w:rFonts w:hint="eastAsia"/>
          <w:sz w:val="24"/>
          <w:vertAlign w:val="subscript"/>
        </w:rPr>
        <w:t>c</w:t>
      </w:r>
      <w:r>
        <w:rPr>
          <w:rFonts w:hint="eastAsia"/>
          <w:color w:val="000000"/>
          <w:sz w:val="24"/>
        </w:rPr>
        <w:t>= 2</w:t>
      </w:r>
      <w:r>
        <w:rPr>
          <w:rFonts w:hint="eastAsia" w:ascii="宋体" w:hAnsi="宋体"/>
          <w:color w:val="000000"/>
          <w:sz w:val="24"/>
        </w:rPr>
        <w:t>×</w:t>
      </w:r>
      <w:r>
        <w:rPr>
          <w:rFonts w:hint="eastAsia"/>
          <w:color w:val="000000"/>
          <w:sz w:val="24"/>
        </w:rPr>
        <w:t>0.</w:t>
      </w:r>
      <w:r>
        <w:rPr>
          <w:color w:val="000000"/>
          <w:sz w:val="24"/>
        </w:rPr>
        <w:t>2</w:t>
      </w:r>
      <w:r>
        <w:rPr>
          <w:rFonts w:hint="eastAsia"/>
          <w:color w:val="000000"/>
          <w:sz w:val="24"/>
        </w:rPr>
        <w:t xml:space="preserve"> = 0.</w:t>
      </w:r>
      <w:r>
        <w:rPr>
          <w:color w:val="000000"/>
          <w:sz w:val="24"/>
        </w:rPr>
        <w:t xml:space="preserve">4 </w:t>
      </w:r>
      <w:r>
        <w:rPr>
          <w:rFonts w:hint="eastAsia"/>
          <w:color w:val="000000"/>
          <w:sz w:val="24"/>
        </w:rPr>
        <w:t>nm</w:t>
      </w:r>
    </w:p>
    <w:p w14:paraId="36B67071">
      <w:pPr>
        <w:tabs>
          <w:tab w:val="left" w:pos="8272"/>
        </w:tabs>
        <w:ind w:firstLine="420" w:firstLineChars="200"/>
        <w:rPr>
          <w:rFonts w:hint="eastAsia" w:ascii="宋体" w:hAnsi="宋体" w:cs="宋体"/>
          <w:sz w:val="28"/>
          <w:szCs w:val="28"/>
        </w:rPr>
        <w:sectPr>
          <w:footerReference r:id="rId13" w:type="default"/>
          <w:pgSz w:w="12240" w:h="15840"/>
          <w:pgMar w:top="1440" w:right="1800" w:bottom="1440" w:left="1800" w:header="720" w:footer="720" w:gutter="0"/>
          <w:pgNumType w:start="1"/>
          <w:cols w:space="720" w:num="1"/>
        </w:sectPr>
      </w:pPr>
      <w:r>
        <w:rPr>
          <w:rFonts w:ascii="Arial" w:hAnsi="Arial"/>
        </w:rPr>
        <mc:AlternateContent>
          <mc:Choice Requires="wps">
            <w:drawing>
              <wp:anchor distT="0" distB="0" distL="114300" distR="114300" simplePos="0" relativeHeight="251665408" behindDoc="0" locked="0" layoutInCell="1" allowOverlap="1">
                <wp:simplePos x="0" y="0"/>
                <wp:positionH relativeFrom="column">
                  <wp:posOffset>1816735</wp:posOffset>
                </wp:positionH>
                <wp:positionV relativeFrom="paragraph">
                  <wp:posOffset>896620</wp:posOffset>
                </wp:positionV>
                <wp:extent cx="2362200" cy="0"/>
                <wp:effectExtent l="0" t="0" r="0" b="0"/>
                <wp:wrapNone/>
                <wp:docPr id="20" name="直接箭头连接符 20"/>
                <wp:cNvGraphicFramePr/>
                <a:graphic xmlns:a="http://schemas.openxmlformats.org/drawingml/2006/main">
                  <a:graphicData uri="http://schemas.microsoft.com/office/word/2010/wordprocessingShape">
                    <wps:wsp>
                      <wps:cNvCnPr/>
                      <wps:spPr>
                        <a:xfrm>
                          <a:off x="0" y="0"/>
                          <a:ext cx="236220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143.05pt;margin-top:70.6pt;height:0pt;width:186pt;z-index:251665408;mso-width-relative:page;mso-height-relative:page;" filled="f" stroked="t" coordsize="21600,21600" o:gfxdata="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gP5B1gAAAAsBAAAPAAAAAAAAAAEAIAAAACIAAABkcnMvZG93&#10;bnJldi54bWxQSwECFAAUAAAACACHTuJAdf0eNQICAAD8AwAADgAAAAAAAAABACAAAAAlAQAAZHJz&#10;L2Uyb0RvYy54bWxQSwUGAAAAAAYABgBZAQAAmQUAAAAA&#10;">
                <v:fill on="f" focussize="0,0"/>
                <v:stroke color="#000000" joinstyle="round"/>
                <v:imagedata o:title=""/>
                <o:lock v:ext="edit" aspectratio="f"/>
              </v:shape>
            </w:pict>
          </mc:Fallback>
        </mc:AlternateContent>
      </w:r>
    </w:p>
    <w:bookmarkEnd w:id="45"/>
    <w:bookmarkEnd w:id="46"/>
    <w:bookmarkEnd w:id="47"/>
    <w:bookmarkEnd w:id="48"/>
    <w:p w14:paraId="10047BE4">
      <w:pPr>
        <w:pStyle w:val="2"/>
        <w:spacing w:before="0" w:after="0" w:line="240" w:lineRule="auto"/>
        <w:rPr>
          <w:rFonts w:hint="eastAsia" w:ascii="黑体" w:hAnsi="黑体"/>
          <w:b w:val="0"/>
          <w:color w:val="000000" w:themeColor="text1"/>
          <w:sz w:val="28"/>
          <w:szCs w:val="28"/>
          <w14:textFill>
            <w14:solidFill>
              <w14:schemeClr w14:val="tx1"/>
            </w14:solidFill>
          </w14:textFill>
        </w:rPr>
      </w:pPr>
      <w:bookmarkStart w:id="50" w:name="_Toc111200874"/>
      <w:bookmarkStart w:id="51" w:name="_Toc196929263"/>
      <w:r>
        <w:rPr>
          <w:rFonts w:hint="eastAsia" w:ascii="黑体" w:hAnsi="黑体"/>
          <w:b w:val="0"/>
          <w:color w:val="000000" w:themeColor="text1"/>
          <w:sz w:val="28"/>
          <w:szCs w:val="28"/>
          <w14:textFill>
            <w14:solidFill>
              <w14:schemeClr w14:val="tx1"/>
            </w14:solidFill>
          </w14:textFill>
        </w:rPr>
        <w:t>附录</w:t>
      </w:r>
      <w:bookmarkEnd w:id="50"/>
      <w:r>
        <w:rPr>
          <w:rFonts w:hint="eastAsia" w:ascii="黑体" w:hAnsi="黑体"/>
          <w:b w:val="0"/>
          <w:color w:val="000000" w:themeColor="text1"/>
          <w:sz w:val="28"/>
          <w:szCs w:val="28"/>
          <w14:textFill>
            <w14:solidFill>
              <w14:schemeClr w14:val="tx1"/>
            </w14:solidFill>
          </w14:textFill>
        </w:rPr>
        <w:t>B</w:t>
      </w:r>
      <w:bookmarkEnd w:id="51"/>
    </w:p>
    <w:p w14:paraId="17118F54">
      <w:pPr>
        <w:jc w:val="cente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原始记录格式</w:t>
      </w:r>
    </w:p>
    <w:p w14:paraId="17B45785">
      <w:pPr>
        <w:jc w:val="center"/>
        <w:rPr>
          <w:rFonts w:hint="eastAsia" w:ascii="黑体" w:hAnsi="黑体" w:eastAsia="黑体"/>
          <w:color w:val="000000" w:themeColor="text1"/>
          <w:sz w:val="28"/>
          <w:szCs w:val="28"/>
          <w14:textFill>
            <w14:solidFill>
              <w14:schemeClr w14:val="tx1"/>
            </w14:solidFill>
          </w14:textFill>
        </w:rPr>
      </w:pPr>
    </w:p>
    <w:p w14:paraId="7C8E4029">
      <w:pPr>
        <w:adjustRightInd w:val="0"/>
        <w:snapToGrid w:val="0"/>
        <w:spacing w:line="360" w:lineRule="auto"/>
        <w:rPr>
          <w:u w:val="single"/>
        </w:rPr>
      </w:pPr>
      <w:r>
        <w:rPr>
          <w:rFonts w:hint="eastAsia"/>
          <w:sz w:val="24"/>
        </w:rPr>
        <w:t>客户名称：</w:t>
      </w:r>
      <w:r>
        <w:rPr>
          <w:rFonts w:hint="eastAsia"/>
          <w:sz w:val="24"/>
          <w:u w:val="single"/>
        </w:rPr>
        <w:t xml:space="preserve">                      </w:t>
      </w:r>
      <w:r>
        <w:rPr>
          <w:rFonts w:hint="eastAsia"/>
          <w:sz w:val="24"/>
        </w:rPr>
        <w:t xml:space="preserve">   </w:t>
      </w:r>
      <w:r>
        <w:rPr>
          <w:rFonts w:hint="eastAsia"/>
          <w:sz w:val="22"/>
        </w:rPr>
        <w:t xml:space="preserve"> </w:t>
      </w:r>
      <w:r>
        <w:rPr>
          <w:rFonts w:hint="eastAsia"/>
          <w:sz w:val="24"/>
        </w:rPr>
        <w:t>制 造 厂：</w:t>
      </w:r>
      <w:r>
        <w:rPr>
          <w:rFonts w:hint="eastAsia"/>
          <w:sz w:val="24"/>
          <w:u w:val="single"/>
        </w:rPr>
        <w:t xml:space="preserve">                      </w:t>
      </w:r>
      <w:r>
        <w:rPr>
          <w:rFonts w:hint="eastAsia"/>
          <w:sz w:val="24"/>
        </w:rPr>
        <w:t xml:space="preserve"> </w:t>
      </w:r>
    </w:p>
    <w:p w14:paraId="78406398">
      <w:pPr>
        <w:adjustRightInd w:val="0"/>
        <w:snapToGrid w:val="0"/>
        <w:spacing w:line="360" w:lineRule="auto"/>
        <w:rPr>
          <w:sz w:val="24"/>
          <w:u w:val="single"/>
        </w:rPr>
      </w:pPr>
      <w:r>
        <w:rPr>
          <w:rFonts w:hint="eastAsia"/>
          <w:sz w:val="24"/>
        </w:rPr>
        <w:t>证书编号：</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 xml:space="preserve">   样品名称：</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14:paraId="5939C46A">
      <w:pPr>
        <w:adjustRightInd w:val="0"/>
        <w:snapToGrid w:val="0"/>
        <w:spacing w:line="360" w:lineRule="auto"/>
        <w:rPr>
          <w:sz w:val="24"/>
          <w:u w:val="single"/>
        </w:rPr>
      </w:pPr>
      <w:r>
        <w:rPr>
          <w:rFonts w:hint="eastAsia"/>
          <w:sz w:val="24"/>
        </w:rPr>
        <w:t>型    号：</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 xml:space="preserve">  </w:t>
      </w:r>
      <w:r>
        <w:rPr>
          <w:sz w:val="24"/>
        </w:rPr>
        <w:t xml:space="preserve"> </w:t>
      </w:r>
      <w:r>
        <w:rPr>
          <w:rFonts w:hint="eastAsia"/>
          <w:sz w:val="24"/>
        </w:rPr>
        <w:t>出厂编号：</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14:paraId="1830FCA3">
      <w:pPr>
        <w:adjustRightInd w:val="0"/>
        <w:snapToGrid w:val="0"/>
        <w:spacing w:line="360" w:lineRule="auto"/>
        <w:rPr>
          <w:sz w:val="24"/>
        </w:rPr>
      </w:pPr>
      <w:r>
        <w:rPr>
          <w:rFonts w:hint="eastAsia"/>
          <w:sz w:val="24"/>
        </w:rPr>
        <w:t>环境温度：</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 xml:space="preserve">℃  </w:t>
      </w:r>
      <w:r>
        <w:rPr>
          <w:sz w:val="24"/>
        </w:rPr>
        <w:t xml:space="preserve"> </w:t>
      </w:r>
      <w:r>
        <w:rPr>
          <w:rFonts w:hint="eastAsia"/>
          <w:sz w:val="24"/>
        </w:rPr>
        <w:t>相对湿度：</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w:t>
      </w:r>
      <w:r>
        <w:rPr>
          <w:sz w:val="24"/>
        </w:rPr>
        <w:t xml:space="preserve">   </w:t>
      </w:r>
    </w:p>
    <w:p w14:paraId="2A58C2CC">
      <w:pPr>
        <w:adjustRightInd w:val="0"/>
        <w:snapToGrid w:val="0"/>
        <w:spacing w:line="360" w:lineRule="auto"/>
        <w:rPr>
          <w:sz w:val="24"/>
        </w:rPr>
      </w:pPr>
      <w:r>
        <w:rPr>
          <w:rFonts w:hint="eastAsia"/>
          <w:sz w:val="24"/>
        </w:rPr>
        <w:t>测试</w:t>
      </w:r>
      <w:r>
        <w:rPr>
          <w:sz w:val="24"/>
        </w:rPr>
        <w:t>日期：</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 xml:space="preserve">    测试地点</w:t>
      </w:r>
      <w:r>
        <w:rPr>
          <w:sz w:val="24"/>
        </w:rPr>
        <w:t>：</w:t>
      </w:r>
      <w:r>
        <w:rPr>
          <w:rFonts w:hint="eastAsia"/>
          <w:sz w:val="24"/>
          <w:u w:val="single"/>
        </w:rPr>
        <w:t xml:space="preserve">        </w:t>
      </w:r>
      <w:r>
        <w:rPr>
          <w:sz w:val="24"/>
          <w:u w:val="single"/>
        </w:rPr>
        <w:t xml:space="preserve">         </w:t>
      </w:r>
      <w:r>
        <w:rPr>
          <w:rFonts w:hint="eastAsia"/>
          <w:sz w:val="24"/>
          <w:u w:val="single"/>
        </w:rPr>
        <w:t xml:space="preserve">    </w:t>
      </w:r>
    </w:p>
    <w:p w14:paraId="2A35CDD3">
      <w:pPr>
        <w:adjustRightInd w:val="0"/>
        <w:snapToGrid w:val="0"/>
        <w:spacing w:line="360" w:lineRule="auto"/>
        <w:rPr>
          <w:sz w:val="24"/>
        </w:rPr>
      </w:pPr>
      <w:r>
        <w:rPr>
          <w:rFonts w:hint="eastAsia"/>
          <w:sz w:val="24"/>
        </w:rPr>
        <w:t>依据的技术文件：</w:t>
      </w:r>
    </w:p>
    <w:p w14:paraId="6D25D697">
      <w:pPr>
        <w:adjustRightInd w:val="0"/>
        <w:snapToGrid w:val="0"/>
        <w:spacing w:line="360" w:lineRule="auto"/>
        <w:rPr>
          <w:rFonts w:hint="eastAsia" w:ascii="宋体" w:hAnsi="宋体" w:cs="宋体"/>
          <w:sz w:val="24"/>
        </w:rPr>
      </w:pPr>
      <w:r>
        <w:rPr>
          <w:rFonts w:hint="eastAsia"/>
          <w:sz w:val="24"/>
          <w:u w:val="single"/>
        </w:rPr>
        <w:t xml:space="preserve"> </w:t>
      </w:r>
      <w:r>
        <w:rPr>
          <w:sz w:val="24"/>
          <w:u w:val="single"/>
        </w:rPr>
        <w:t xml:space="preserve">                                                        </w:t>
      </w:r>
      <w:r>
        <w:rPr>
          <w:rFonts w:hint="eastAsia"/>
          <w:sz w:val="24"/>
          <w:u w:val="single"/>
        </w:rPr>
        <w:t xml:space="preserve">            </w:t>
      </w:r>
    </w:p>
    <w:p w14:paraId="5FA64EDF">
      <w:pPr>
        <w:adjustRightInd w:val="0"/>
        <w:snapToGrid w:val="0"/>
        <w:spacing w:line="360" w:lineRule="auto"/>
        <w:rPr>
          <w:sz w:val="24"/>
        </w:rPr>
      </w:pPr>
      <w:r>
        <w:rPr>
          <w:rFonts w:hint="eastAsia"/>
          <w:sz w:val="24"/>
        </w:rPr>
        <w:t>使用的仪器</w:t>
      </w:r>
      <w:r>
        <w:rPr>
          <w:sz w:val="24"/>
        </w:rPr>
        <w:t>设备</w:t>
      </w:r>
      <w:r>
        <w:rPr>
          <w:rFonts w:hint="eastAsia"/>
          <w:sz w:val="24"/>
        </w:rPr>
        <w:t>：</w:t>
      </w:r>
    </w:p>
    <w:tbl>
      <w:tblPr>
        <w:tblStyle w:val="18"/>
        <w:tblW w:w="8604" w:type="dxa"/>
        <w:tblInd w:w="24" w:type="dxa"/>
        <w:tblBorders>
          <w:top w:val="single" w:color="808080" w:sz="12" w:space="0"/>
          <w:left w:val="single" w:color="808080" w:sz="12" w:space="0"/>
          <w:bottom w:val="single" w:color="808080" w:sz="12" w:space="0"/>
          <w:right w:val="single" w:color="808080" w:sz="12" w:space="0"/>
          <w:insideH w:val="single" w:color="808080" w:sz="12" w:space="0"/>
          <w:insideV w:val="single" w:color="808080" w:sz="12" w:space="0"/>
        </w:tblBorders>
        <w:tblLayout w:type="fixed"/>
        <w:tblCellMar>
          <w:top w:w="0" w:type="dxa"/>
          <w:left w:w="108" w:type="dxa"/>
          <w:bottom w:w="0" w:type="dxa"/>
          <w:right w:w="108" w:type="dxa"/>
        </w:tblCellMar>
      </w:tblPr>
      <w:tblGrid>
        <w:gridCol w:w="1834"/>
        <w:gridCol w:w="1652"/>
        <w:gridCol w:w="1701"/>
        <w:gridCol w:w="1701"/>
        <w:gridCol w:w="1716"/>
      </w:tblGrid>
      <w:tr w14:paraId="1669B4B1">
        <w:tblPrEx>
          <w:tblBorders>
            <w:top w:val="single" w:color="808080" w:sz="12" w:space="0"/>
            <w:left w:val="single" w:color="808080" w:sz="12" w:space="0"/>
            <w:bottom w:val="single" w:color="808080" w:sz="12" w:space="0"/>
            <w:right w:val="single" w:color="808080" w:sz="12" w:space="0"/>
            <w:insideH w:val="single" w:color="808080" w:sz="12" w:space="0"/>
            <w:insideV w:val="single" w:color="808080" w:sz="12" w:space="0"/>
          </w:tblBorders>
          <w:tblCellMar>
            <w:top w:w="0" w:type="dxa"/>
            <w:left w:w="108" w:type="dxa"/>
            <w:bottom w:w="0" w:type="dxa"/>
            <w:right w:w="108" w:type="dxa"/>
          </w:tblCellMar>
        </w:tblPrEx>
        <w:trPr>
          <w:trHeight w:val="736" w:hRule="exact"/>
        </w:trPr>
        <w:tc>
          <w:tcPr>
            <w:tcW w:w="1834" w:type="dxa"/>
            <w:vAlign w:val="center"/>
          </w:tcPr>
          <w:p w14:paraId="0A2CB022">
            <w:pPr>
              <w:spacing w:line="0" w:lineRule="atLeast"/>
              <w:jc w:val="center"/>
              <w:rPr>
                <w:szCs w:val="21"/>
              </w:rPr>
            </w:pPr>
            <w:r>
              <w:rPr>
                <w:rFonts w:hint="eastAsia"/>
                <w:szCs w:val="21"/>
              </w:rPr>
              <w:t>名  称</w:t>
            </w:r>
          </w:p>
        </w:tc>
        <w:tc>
          <w:tcPr>
            <w:tcW w:w="1652" w:type="dxa"/>
            <w:vAlign w:val="center"/>
          </w:tcPr>
          <w:p w14:paraId="6F6DCA23">
            <w:pPr>
              <w:spacing w:line="0" w:lineRule="atLeast"/>
              <w:jc w:val="center"/>
              <w:rPr>
                <w:szCs w:val="21"/>
              </w:rPr>
            </w:pPr>
            <w:r>
              <w:rPr>
                <w:rFonts w:hint="eastAsia"/>
                <w:szCs w:val="21"/>
              </w:rPr>
              <w:t>测量范围</w:t>
            </w:r>
          </w:p>
        </w:tc>
        <w:tc>
          <w:tcPr>
            <w:tcW w:w="1701" w:type="dxa"/>
            <w:vAlign w:val="center"/>
          </w:tcPr>
          <w:p w14:paraId="61F08CFC">
            <w:pPr>
              <w:spacing w:line="0" w:lineRule="atLeast"/>
              <w:jc w:val="center"/>
              <w:rPr>
                <w:szCs w:val="21"/>
              </w:rPr>
            </w:pPr>
            <w:r>
              <w:rPr>
                <w:rFonts w:hint="eastAsia"/>
                <w:szCs w:val="21"/>
              </w:rPr>
              <w:t>不确定度/</w:t>
            </w:r>
          </w:p>
          <w:p w14:paraId="645D8B84">
            <w:pPr>
              <w:spacing w:line="0" w:lineRule="atLeast"/>
              <w:jc w:val="center"/>
              <w:rPr>
                <w:szCs w:val="21"/>
              </w:rPr>
            </w:pPr>
            <w:r>
              <w:rPr>
                <w:rFonts w:hint="eastAsia"/>
                <w:szCs w:val="21"/>
              </w:rPr>
              <w:t>准确度等级</w:t>
            </w:r>
          </w:p>
        </w:tc>
        <w:tc>
          <w:tcPr>
            <w:tcW w:w="1701" w:type="dxa"/>
            <w:vAlign w:val="center"/>
          </w:tcPr>
          <w:p w14:paraId="73BE3D56">
            <w:pPr>
              <w:spacing w:line="0" w:lineRule="atLeast"/>
              <w:jc w:val="center"/>
              <w:rPr>
                <w:szCs w:val="21"/>
              </w:rPr>
            </w:pPr>
            <w:r>
              <w:rPr>
                <w:rFonts w:hint="eastAsia"/>
                <w:szCs w:val="21"/>
              </w:rPr>
              <w:t>证书编号</w:t>
            </w:r>
          </w:p>
        </w:tc>
        <w:tc>
          <w:tcPr>
            <w:tcW w:w="1716" w:type="dxa"/>
            <w:vAlign w:val="center"/>
          </w:tcPr>
          <w:p w14:paraId="64440C25">
            <w:pPr>
              <w:spacing w:line="0" w:lineRule="atLeast"/>
              <w:jc w:val="center"/>
              <w:rPr>
                <w:szCs w:val="21"/>
              </w:rPr>
            </w:pPr>
            <w:r>
              <w:rPr>
                <w:rFonts w:hint="eastAsia"/>
                <w:szCs w:val="21"/>
              </w:rPr>
              <w:t>证书有效期至</w:t>
            </w:r>
          </w:p>
          <w:p w14:paraId="2192C3AE">
            <w:pPr>
              <w:spacing w:line="0" w:lineRule="atLeast"/>
              <w:jc w:val="center"/>
              <w:rPr>
                <w:szCs w:val="21"/>
              </w:rPr>
            </w:pPr>
            <w:r>
              <w:rPr>
                <w:rFonts w:hint="eastAsia"/>
                <w:szCs w:val="21"/>
              </w:rPr>
              <w:t>(YYYY-MM-DD)</w:t>
            </w:r>
          </w:p>
        </w:tc>
      </w:tr>
      <w:tr w14:paraId="729A9DAA">
        <w:tblPrEx>
          <w:tblBorders>
            <w:top w:val="single" w:color="808080" w:sz="12" w:space="0"/>
            <w:left w:val="single" w:color="808080" w:sz="12" w:space="0"/>
            <w:bottom w:val="single" w:color="808080" w:sz="12" w:space="0"/>
            <w:right w:val="single" w:color="808080" w:sz="12" w:space="0"/>
            <w:insideH w:val="single" w:color="808080" w:sz="12" w:space="0"/>
            <w:insideV w:val="single" w:color="808080" w:sz="12" w:space="0"/>
          </w:tblBorders>
          <w:tblCellMar>
            <w:top w:w="0" w:type="dxa"/>
            <w:left w:w="108" w:type="dxa"/>
            <w:bottom w:w="0" w:type="dxa"/>
            <w:right w:w="108" w:type="dxa"/>
          </w:tblCellMar>
        </w:tblPrEx>
        <w:trPr>
          <w:trHeight w:val="1363" w:hRule="atLeast"/>
        </w:trPr>
        <w:tc>
          <w:tcPr>
            <w:tcW w:w="1834" w:type="dxa"/>
          </w:tcPr>
          <w:p w14:paraId="7045B2E7">
            <w:pPr>
              <w:spacing w:line="0" w:lineRule="atLeast"/>
              <w:jc w:val="center"/>
              <w:rPr>
                <w:szCs w:val="21"/>
              </w:rPr>
            </w:pPr>
          </w:p>
        </w:tc>
        <w:tc>
          <w:tcPr>
            <w:tcW w:w="1652" w:type="dxa"/>
          </w:tcPr>
          <w:p w14:paraId="3CED487F">
            <w:pPr>
              <w:spacing w:line="0" w:lineRule="atLeast"/>
              <w:jc w:val="center"/>
              <w:rPr>
                <w:szCs w:val="21"/>
              </w:rPr>
            </w:pPr>
          </w:p>
        </w:tc>
        <w:tc>
          <w:tcPr>
            <w:tcW w:w="1701" w:type="dxa"/>
          </w:tcPr>
          <w:p w14:paraId="7602FE49">
            <w:pPr>
              <w:jc w:val="center"/>
              <w:rPr>
                <w:szCs w:val="21"/>
              </w:rPr>
            </w:pPr>
          </w:p>
        </w:tc>
        <w:tc>
          <w:tcPr>
            <w:tcW w:w="1701" w:type="dxa"/>
          </w:tcPr>
          <w:p w14:paraId="6BE221AA">
            <w:pPr>
              <w:jc w:val="center"/>
              <w:rPr>
                <w:szCs w:val="21"/>
              </w:rPr>
            </w:pPr>
          </w:p>
        </w:tc>
        <w:tc>
          <w:tcPr>
            <w:tcW w:w="1716" w:type="dxa"/>
          </w:tcPr>
          <w:p w14:paraId="5D326D5E">
            <w:pPr>
              <w:jc w:val="center"/>
              <w:rPr>
                <w:szCs w:val="21"/>
              </w:rPr>
            </w:pPr>
          </w:p>
        </w:tc>
      </w:tr>
    </w:tbl>
    <w:p w14:paraId="309F7FE4">
      <w:pPr>
        <w:rPr>
          <w:rFonts w:hint="eastAsia" w:ascii="宋体" w:hAnsi="宋体" w:cs="宋体"/>
          <w:sz w:val="24"/>
        </w:rPr>
      </w:pPr>
    </w:p>
    <w:p w14:paraId="71FA0E7D">
      <w:pPr>
        <w:rPr>
          <w:rFonts w:ascii="黑体" w:hAnsi="黑体" w:eastAsia="黑体" w:cs="宋体"/>
          <w:sz w:val="24"/>
        </w:rPr>
      </w:pPr>
      <w:r>
        <w:rPr>
          <w:rFonts w:hint="eastAsia" w:ascii="黑体" w:hAnsi="黑体" w:eastAsia="黑体" w:cs="宋体"/>
          <w:sz w:val="24"/>
        </w:rPr>
        <w:t>测量</w:t>
      </w:r>
      <w:r>
        <w:rPr>
          <w:rFonts w:ascii="黑体" w:hAnsi="黑体" w:eastAsia="黑体" w:cs="宋体"/>
          <w:sz w:val="24"/>
        </w:rPr>
        <w:t>结果：</w:t>
      </w:r>
    </w:p>
    <w:p w14:paraId="0B221D98">
      <w:pPr>
        <w:rPr>
          <w:rFonts w:hint="eastAsia" w:ascii="宋体" w:hAnsi="宋体" w:cs="宋体"/>
          <w:sz w:val="24"/>
        </w:rPr>
      </w:pPr>
    </w:p>
    <w:p w14:paraId="63262716">
      <w:pPr>
        <w:pStyle w:val="44"/>
        <w:numPr>
          <w:ilvl w:val="0"/>
          <w:numId w:val="5"/>
        </w:numPr>
        <w:spacing w:line="360" w:lineRule="auto"/>
        <w:ind w:left="357" w:hanging="357" w:firstLineChars="0"/>
        <w:rPr>
          <w:sz w:val="24"/>
        </w:rPr>
      </w:pPr>
      <w:r>
        <w:rPr>
          <w:rFonts w:hint="eastAsia"/>
          <w:sz w:val="24"/>
        </w:rPr>
        <w:t>固含量</w:t>
      </w:r>
    </w:p>
    <w:p w14:paraId="49B67193">
      <w:pPr>
        <w:pStyle w:val="44"/>
        <w:numPr>
          <w:ilvl w:val="0"/>
          <w:numId w:val="5"/>
        </w:numPr>
        <w:spacing w:line="360" w:lineRule="auto"/>
        <w:ind w:left="357" w:hanging="357" w:firstLineChars="0"/>
        <w:rPr>
          <w:sz w:val="24"/>
        </w:rPr>
      </w:pPr>
      <w:r>
        <w:rPr>
          <w:rFonts w:hint="eastAsia"/>
          <w:sz w:val="24"/>
        </w:rPr>
        <w:t>pH值</w:t>
      </w:r>
    </w:p>
    <w:p w14:paraId="772FF488">
      <w:pPr>
        <w:pStyle w:val="44"/>
        <w:numPr>
          <w:ilvl w:val="0"/>
          <w:numId w:val="5"/>
        </w:numPr>
        <w:spacing w:line="360" w:lineRule="auto"/>
        <w:ind w:left="357" w:hanging="357" w:firstLineChars="0"/>
        <w:rPr>
          <w:sz w:val="24"/>
        </w:rPr>
      </w:pPr>
      <w:r>
        <w:rPr>
          <w:rFonts w:hint="eastAsia"/>
          <w:sz w:val="24"/>
        </w:rPr>
        <w:t>黏度</w:t>
      </w:r>
    </w:p>
    <w:p w14:paraId="64A3DCEA">
      <w:pPr>
        <w:pStyle w:val="44"/>
        <w:numPr>
          <w:ilvl w:val="0"/>
          <w:numId w:val="5"/>
        </w:numPr>
        <w:spacing w:line="360" w:lineRule="auto"/>
        <w:ind w:left="357" w:hanging="357" w:firstLineChars="0"/>
        <w:rPr>
          <w:sz w:val="24"/>
        </w:rPr>
      </w:pPr>
      <w:r>
        <w:rPr>
          <w:rFonts w:hint="eastAsia"/>
          <w:sz w:val="24"/>
        </w:rPr>
        <w:t>浆料粒度</w:t>
      </w:r>
    </w:p>
    <w:p w14:paraId="2861792A">
      <w:pPr>
        <w:pStyle w:val="44"/>
        <w:numPr>
          <w:ilvl w:val="0"/>
          <w:numId w:val="5"/>
        </w:numPr>
        <w:spacing w:line="360" w:lineRule="auto"/>
        <w:ind w:left="357" w:hanging="357" w:firstLineChars="0"/>
        <w:rPr>
          <w:sz w:val="24"/>
        </w:rPr>
      </w:pPr>
      <w:r>
        <w:rPr>
          <w:rFonts w:hint="eastAsia"/>
          <w:sz w:val="24"/>
        </w:rPr>
        <w:t>片径尺寸</w:t>
      </w:r>
    </w:p>
    <w:p w14:paraId="38EEA7B7">
      <w:pPr>
        <w:pStyle w:val="44"/>
        <w:numPr>
          <w:ilvl w:val="0"/>
          <w:numId w:val="5"/>
        </w:numPr>
        <w:spacing w:line="360" w:lineRule="auto"/>
        <w:ind w:left="357" w:hanging="357" w:firstLineChars="0"/>
        <w:rPr>
          <w:sz w:val="24"/>
        </w:rPr>
      </w:pPr>
      <w:r>
        <w:rPr>
          <w:rFonts w:hint="eastAsia"/>
          <w:sz w:val="24"/>
        </w:rPr>
        <w:t>单层厚度</w:t>
      </w:r>
    </w:p>
    <w:p w14:paraId="61151A0D">
      <w:pPr>
        <w:pStyle w:val="44"/>
        <w:numPr>
          <w:ilvl w:val="0"/>
          <w:numId w:val="5"/>
        </w:numPr>
        <w:spacing w:line="360" w:lineRule="auto"/>
        <w:ind w:left="357" w:hanging="357" w:firstLineChars="0"/>
        <w:rPr>
          <w:sz w:val="24"/>
        </w:rPr>
      </w:pPr>
      <w:r>
        <w:rPr>
          <w:rFonts w:hint="eastAsia"/>
          <w:sz w:val="24"/>
        </w:rPr>
        <w:t>单层率</w:t>
      </w:r>
    </w:p>
    <w:p w14:paraId="1CCAE692">
      <w:pPr>
        <w:pStyle w:val="44"/>
        <w:numPr>
          <w:ilvl w:val="0"/>
          <w:numId w:val="5"/>
        </w:numPr>
        <w:spacing w:line="360" w:lineRule="auto"/>
        <w:ind w:left="357" w:hanging="357" w:firstLineChars="0"/>
        <w:rPr>
          <w:sz w:val="24"/>
        </w:rPr>
      </w:pPr>
      <w:r>
        <w:rPr>
          <w:rFonts w:hint="eastAsia"/>
          <w:sz w:val="24"/>
        </w:rPr>
        <w:t>碳氧比</w:t>
      </w:r>
    </w:p>
    <w:p w14:paraId="6F5852C8">
      <w:pPr>
        <w:pStyle w:val="44"/>
        <w:ind w:left="360" w:firstLine="0" w:firstLineChars="0"/>
      </w:pPr>
    </w:p>
    <w:p w14:paraId="0CD595FD">
      <w:pPr>
        <w:widowControl/>
        <w:jc w:val="left"/>
        <w:rPr>
          <w:sz w:val="24"/>
        </w:rPr>
      </w:pPr>
      <w:r>
        <w:rPr>
          <w:sz w:val="24"/>
        </w:rPr>
        <w:br w:type="page"/>
      </w:r>
    </w:p>
    <w:p w14:paraId="78E7CDAB">
      <w:pPr>
        <w:pStyle w:val="2"/>
        <w:spacing w:before="0" w:after="0" w:line="240" w:lineRule="auto"/>
        <w:rPr>
          <w:rFonts w:hint="eastAsia" w:ascii="黑体" w:hAnsi="黑体"/>
          <w:b w:val="0"/>
          <w:color w:val="000000" w:themeColor="text1"/>
          <w:sz w:val="28"/>
          <w:szCs w:val="28"/>
          <w14:textFill>
            <w14:solidFill>
              <w14:schemeClr w14:val="tx1"/>
            </w14:solidFill>
          </w14:textFill>
        </w:rPr>
      </w:pPr>
      <w:bookmarkStart w:id="52" w:name="_Toc196929264"/>
      <w:bookmarkStart w:id="53" w:name="_Toc111200875"/>
      <w:r>
        <w:rPr>
          <w:rFonts w:hint="eastAsia" w:ascii="黑体" w:hAnsi="黑体"/>
          <w:b w:val="0"/>
          <w:color w:val="000000" w:themeColor="text1"/>
          <w:sz w:val="28"/>
          <w:szCs w:val="28"/>
          <w14:textFill>
            <w14:solidFill>
              <w14:schemeClr w14:val="tx1"/>
            </w14:solidFill>
          </w14:textFill>
        </w:rPr>
        <w:t>附录C</w:t>
      </w:r>
      <w:bookmarkEnd w:id="52"/>
    </w:p>
    <w:p w14:paraId="6FCA1340">
      <w:pPr>
        <w:jc w:val="cente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证书</w:t>
      </w:r>
      <w:r>
        <w:rPr>
          <w:rFonts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14:textFill>
            <w14:solidFill>
              <w14:schemeClr w14:val="tx1"/>
            </w14:solidFill>
          </w14:textFill>
        </w:rPr>
        <w:t>内页</w:t>
      </w:r>
      <w:r>
        <w:rPr>
          <w:rFonts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14:textFill>
            <w14:solidFill>
              <w14:schemeClr w14:val="tx1"/>
            </w14:solidFill>
          </w14:textFill>
        </w:rPr>
        <w:t>格式</w:t>
      </w:r>
    </w:p>
    <w:bookmarkEnd w:id="53"/>
    <w:p w14:paraId="36518173">
      <w:pPr>
        <w:rPr>
          <w:rFonts w:hint="eastAsia"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C</w:t>
      </w:r>
      <w:r>
        <w:rPr>
          <w:rFonts w:ascii="黑体" w:hAnsi="黑体" w:eastAsia="黑体"/>
          <w:color w:val="000000" w:themeColor="text1"/>
          <w:sz w:val="24"/>
          <w14:textFill>
            <w14:solidFill>
              <w14:schemeClr w14:val="tx1"/>
            </w14:solidFill>
          </w14:textFill>
        </w:rPr>
        <w:t xml:space="preserve">.1 </w:t>
      </w:r>
      <w:r>
        <w:rPr>
          <w:rFonts w:hint="eastAsia" w:ascii="黑体" w:hAnsi="黑体" w:eastAsia="黑体"/>
          <w:color w:val="000000" w:themeColor="text1"/>
          <w:sz w:val="24"/>
          <w14:textFill>
            <w14:solidFill>
              <w14:schemeClr w14:val="tx1"/>
            </w14:solidFill>
          </w14:textFill>
        </w:rPr>
        <w:t>证书第</w:t>
      </w:r>
      <w:r>
        <w:rPr>
          <w:rFonts w:ascii="黑体" w:hAnsi="黑体" w:eastAsia="黑体"/>
          <w:color w:val="000000" w:themeColor="text1"/>
          <w:sz w:val="24"/>
          <w14:textFill>
            <w14:solidFill>
              <w14:schemeClr w14:val="tx1"/>
            </w14:solidFill>
          </w14:textFill>
        </w:rPr>
        <w:t>2</w:t>
      </w:r>
      <w:r>
        <w:rPr>
          <w:rFonts w:hint="eastAsia" w:ascii="黑体" w:hAnsi="黑体" w:eastAsia="黑体"/>
          <w:color w:val="000000" w:themeColor="text1"/>
          <w:sz w:val="24"/>
          <w14:textFill>
            <w14:solidFill>
              <w14:schemeClr w14:val="tx1"/>
            </w14:solidFill>
          </w14:textFill>
        </w:rPr>
        <w:t>页式样</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4"/>
      </w:tblGrid>
      <w:tr w14:paraId="70EA1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8" w:hRule="atLeast"/>
          <w:jc w:val="center"/>
        </w:trPr>
        <w:tc>
          <w:tcPr>
            <w:tcW w:w="8430" w:type="dxa"/>
            <w:tcBorders>
              <w:top w:val="single" w:color="auto" w:sz="4" w:space="0"/>
              <w:left w:val="single" w:color="auto" w:sz="4" w:space="0"/>
              <w:bottom w:val="single" w:color="auto" w:sz="4" w:space="0"/>
              <w:right w:val="single" w:color="auto" w:sz="4" w:space="0"/>
            </w:tcBorders>
          </w:tcPr>
          <w:p w14:paraId="6FDFF4B6">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证书编号：</w:t>
            </w:r>
            <w:r>
              <w:rPr>
                <w:color w:val="000000" w:themeColor="text1"/>
                <w:szCs w:val="21"/>
                <w14:textFill>
                  <w14:solidFill>
                    <w14:schemeClr w14:val="tx1"/>
                  </w14:solidFill>
                </w14:textFill>
              </w:rPr>
              <w:t>XXXX-XXXX</w:t>
            </w:r>
          </w:p>
          <w:p w14:paraId="7DBBE572">
            <w:pPr>
              <w:jc w:val="center"/>
              <w:rPr>
                <w:color w:val="000000" w:themeColor="text1"/>
                <w:sz w:val="24"/>
                <w14:textFill>
                  <w14:solidFill>
                    <w14:schemeClr w14:val="tx1"/>
                  </w14:solidFill>
                </w14:textFill>
              </w:rPr>
            </w:pPr>
          </w:p>
          <w:tbl>
            <w:tblPr>
              <w:tblStyle w:val="18"/>
              <w:tblW w:w="8558"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0"/>
              <w:gridCol w:w="1883"/>
              <w:gridCol w:w="1519"/>
              <w:gridCol w:w="1519"/>
              <w:gridCol w:w="249"/>
              <w:gridCol w:w="1791"/>
              <w:gridCol w:w="1587"/>
            </w:tblGrid>
            <w:tr w14:paraId="37B0EE2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793" w:hRule="atLeast"/>
                <w:jc w:val="center"/>
              </w:trPr>
              <w:tc>
                <w:tcPr>
                  <w:tcW w:w="8548" w:type="dxa"/>
                  <w:gridSpan w:val="6"/>
                </w:tcPr>
                <w:p w14:paraId="2C5E4605">
                  <w:pPr>
                    <w:spacing w:line="0" w:lineRule="atLeast"/>
                    <w:rPr>
                      <w:spacing w:val="20"/>
                      <w:szCs w:val="21"/>
                    </w:rPr>
                  </w:pPr>
                  <w:r>
                    <w:rPr>
                      <w:rFonts w:hint="eastAsia"/>
                      <w:spacing w:val="20"/>
                      <w:szCs w:val="21"/>
                    </w:rPr>
                    <w:t>机构</w:t>
                  </w:r>
                  <w:r>
                    <w:rPr>
                      <w:spacing w:val="20"/>
                      <w:szCs w:val="21"/>
                    </w:rPr>
                    <w:t>授权说明</w:t>
                  </w:r>
                </w:p>
              </w:tc>
            </w:tr>
            <w:tr w14:paraId="4B4DF4F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370" w:hRule="atLeast"/>
                <w:jc w:val="center"/>
              </w:trPr>
              <w:tc>
                <w:tcPr>
                  <w:tcW w:w="8548" w:type="dxa"/>
                  <w:gridSpan w:val="6"/>
                  <w:tcBorders>
                    <w:bottom w:val="nil"/>
                  </w:tcBorders>
                </w:tcPr>
                <w:p w14:paraId="19AE35AD">
                  <w:pPr>
                    <w:spacing w:line="0" w:lineRule="atLeast"/>
                    <w:rPr>
                      <w:szCs w:val="21"/>
                    </w:rPr>
                  </w:pPr>
                  <w:r>
                    <w:rPr>
                      <w:rFonts w:hint="eastAsia"/>
                      <w:szCs w:val="21"/>
                    </w:rPr>
                    <w:t>测试所参考的技术文件（代号、名称）</w:t>
                  </w:r>
                </w:p>
              </w:tc>
            </w:tr>
            <w:tr w14:paraId="223E8F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369" w:hRule="atLeast"/>
                <w:jc w:val="center"/>
              </w:trPr>
              <w:tc>
                <w:tcPr>
                  <w:tcW w:w="8548" w:type="dxa"/>
                  <w:gridSpan w:val="6"/>
                  <w:tcBorders>
                    <w:top w:val="nil"/>
                  </w:tcBorders>
                </w:tcPr>
                <w:p w14:paraId="08BB1CF2">
                  <w:pPr>
                    <w:spacing w:line="0" w:lineRule="atLeast"/>
                    <w:rPr>
                      <w:szCs w:val="21"/>
                    </w:rPr>
                  </w:pPr>
                </w:p>
                <w:p w14:paraId="0D521D66">
                  <w:pPr>
                    <w:spacing w:line="0" w:lineRule="atLeast"/>
                    <w:rPr>
                      <w:szCs w:val="21"/>
                    </w:rPr>
                  </w:pPr>
                </w:p>
              </w:tc>
            </w:tr>
            <w:tr w14:paraId="1800FC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290" w:hRule="atLeast"/>
                <w:jc w:val="center"/>
              </w:trPr>
              <w:tc>
                <w:tcPr>
                  <w:tcW w:w="8548" w:type="dxa"/>
                  <w:gridSpan w:val="6"/>
                  <w:tcBorders>
                    <w:bottom w:val="nil"/>
                  </w:tcBorders>
                </w:tcPr>
                <w:p w14:paraId="550E1323">
                  <w:pPr>
                    <w:spacing w:before="48" w:beforeLines="20" w:line="0" w:lineRule="atLeast"/>
                    <w:ind w:left="-48" w:leftChars="-24" w:hanging="2"/>
                    <w:rPr>
                      <w:szCs w:val="21"/>
                    </w:rPr>
                  </w:pPr>
                  <w:r>
                    <w:rPr>
                      <w:rFonts w:hint="eastAsia"/>
                      <w:szCs w:val="21"/>
                    </w:rPr>
                    <w:t>测试环境条件及地点：</w:t>
                  </w:r>
                </w:p>
              </w:tc>
            </w:tr>
            <w:tr w14:paraId="45D86A4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290" w:hRule="exact"/>
                <w:jc w:val="center"/>
              </w:trPr>
              <w:tc>
                <w:tcPr>
                  <w:tcW w:w="1893" w:type="dxa"/>
                  <w:gridSpan w:val="2"/>
                  <w:tcBorders>
                    <w:top w:val="nil"/>
                    <w:bottom w:val="nil"/>
                    <w:right w:val="nil"/>
                  </w:tcBorders>
                </w:tcPr>
                <w:p w14:paraId="78DD21D1">
                  <w:pPr>
                    <w:spacing w:line="0" w:lineRule="atLeast"/>
                    <w:ind w:left="-48" w:leftChars="-24" w:hanging="2"/>
                    <w:rPr>
                      <w:szCs w:val="21"/>
                    </w:rPr>
                  </w:pPr>
                  <w:r>
                    <w:rPr>
                      <w:rFonts w:hint="eastAsia"/>
                      <w:szCs w:val="21"/>
                    </w:rPr>
                    <w:t>温度：</w:t>
                  </w:r>
                </w:p>
              </w:tc>
              <w:tc>
                <w:tcPr>
                  <w:tcW w:w="1519" w:type="dxa"/>
                  <w:tcBorders>
                    <w:top w:val="nil"/>
                    <w:left w:val="nil"/>
                    <w:bottom w:val="nil"/>
                    <w:right w:val="nil"/>
                  </w:tcBorders>
                </w:tcPr>
                <w:p w14:paraId="56674011">
                  <w:pPr>
                    <w:spacing w:line="0" w:lineRule="atLeast"/>
                    <w:ind w:left="-48" w:leftChars="-24" w:hanging="2"/>
                    <w:rPr>
                      <w:szCs w:val="21"/>
                    </w:rPr>
                  </w:pPr>
                  <w:r>
                    <w:rPr>
                      <w:rFonts w:hint="eastAsia" w:hAnsi="宋体"/>
                      <w:szCs w:val="21"/>
                    </w:rPr>
                    <w:t>℃</w:t>
                  </w:r>
                </w:p>
              </w:tc>
              <w:tc>
                <w:tcPr>
                  <w:tcW w:w="1519" w:type="dxa"/>
                  <w:tcBorders>
                    <w:top w:val="nil"/>
                    <w:left w:val="nil"/>
                    <w:bottom w:val="nil"/>
                    <w:right w:val="nil"/>
                  </w:tcBorders>
                </w:tcPr>
                <w:p w14:paraId="5211B0CE">
                  <w:pPr>
                    <w:spacing w:line="0" w:lineRule="atLeast"/>
                    <w:ind w:left="-48" w:leftChars="-24" w:hanging="2"/>
                    <w:rPr>
                      <w:szCs w:val="21"/>
                    </w:rPr>
                  </w:pPr>
                  <w:r>
                    <w:rPr>
                      <w:rFonts w:hint="eastAsia"/>
                      <w:szCs w:val="21"/>
                    </w:rPr>
                    <w:t>地点：</w:t>
                  </w:r>
                </w:p>
              </w:tc>
              <w:tc>
                <w:tcPr>
                  <w:tcW w:w="3627" w:type="dxa"/>
                  <w:gridSpan w:val="3"/>
                  <w:tcBorders>
                    <w:top w:val="nil"/>
                    <w:left w:val="nil"/>
                    <w:bottom w:val="nil"/>
                  </w:tcBorders>
                </w:tcPr>
                <w:p w14:paraId="0BB8A681">
                  <w:pPr>
                    <w:spacing w:line="0" w:lineRule="atLeast"/>
                    <w:rPr>
                      <w:szCs w:val="21"/>
                    </w:rPr>
                  </w:pPr>
                  <w:r>
                    <w:rPr>
                      <w:szCs w:val="21"/>
                    </w:rPr>
                    <w:t xml:space="preserve"> </w:t>
                  </w:r>
                </w:p>
              </w:tc>
            </w:tr>
            <w:tr w14:paraId="666F4C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290" w:hRule="exact"/>
                <w:jc w:val="center"/>
              </w:trPr>
              <w:tc>
                <w:tcPr>
                  <w:tcW w:w="1893" w:type="dxa"/>
                  <w:gridSpan w:val="2"/>
                  <w:tcBorders>
                    <w:top w:val="nil"/>
                    <w:right w:val="nil"/>
                  </w:tcBorders>
                </w:tcPr>
                <w:p w14:paraId="1A71B6E1">
                  <w:pPr>
                    <w:spacing w:line="0" w:lineRule="atLeast"/>
                    <w:ind w:left="-48" w:leftChars="-24" w:hanging="2"/>
                    <w:rPr>
                      <w:szCs w:val="21"/>
                    </w:rPr>
                  </w:pPr>
                  <w:r>
                    <w:rPr>
                      <w:rFonts w:hint="eastAsia"/>
                      <w:szCs w:val="21"/>
                    </w:rPr>
                    <w:t>湿度：</w:t>
                  </w:r>
                </w:p>
              </w:tc>
              <w:tc>
                <w:tcPr>
                  <w:tcW w:w="1519" w:type="dxa"/>
                  <w:tcBorders>
                    <w:top w:val="nil"/>
                    <w:left w:val="nil"/>
                    <w:right w:val="nil"/>
                  </w:tcBorders>
                </w:tcPr>
                <w:p w14:paraId="1781991A">
                  <w:pPr>
                    <w:spacing w:line="0" w:lineRule="atLeast"/>
                    <w:ind w:left="-48" w:leftChars="-24" w:hanging="2"/>
                    <w:rPr>
                      <w:szCs w:val="21"/>
                    </w:rPr>
                  </w:pPr>
                  <w:r>
                    <w:rPr>
                      <w:rFonts w:hint="eastAsia"/>
                      <w:szCs w:val="21"/>
                    </w:rPr>
                    <w:t>% RH</w:t>
                  </w:r>
                </w:p>
              </w:tc>
              <w:tc>
                <w:tcPr>
                  <w:tcW w:w="1519" w:type="dxa"/>
                  <w:tcBorders>
                    <w:top w:val="nil"/>
                    <w:left w:val="nil"/>
                    <w:right w:val="nil"/>
                  </w:tcBorders>
                </w:tcPr>
                <w:p w14:paraId="61DB393C">
                  <w:pPr>
                    <w:spacing w:line="0" w:lineRule="atLeast"/>
                    <w:ind w:left="-48" w:leftChars="-24" w:hanging="2"/>
                    <w:rPr>
                      <w:szCs w:val="21"/>
                    </w:rPr>
                  </w:pPr>
                  <w:r>
                    <w:rPr>
                      <w:rFonts w:hint="eastAsia"/>
                      <w:szCs w:val="21"/>
                    </w:rPr>
                    <w:t>其它：</w:t>
                  </w:r>
                </w:p>
              </w:tc>
              <w:tc>
                <w:tcPr>
                  <w:tcW w:w="3627" w:type="dxa"/>
                  <w:gridSpan w:val="3"/>
                  <w:tcBorders>
                    <w:top w:val="nil"/>
                    <w:left w:val="nil"/>
                  </w:tcBorders>
                </w:tcPr>
                <w:p w14:paraId="322F94E1">
                  <w:pPr>
                    <w:spacing w:line="0" w:lineRule="atLeast"/>
                    <w:ind w:left="-48" w:leftChars="-24" w:hanging="2"/>
                    <w:rPr>
                      <w:szCs w:val="21"/>
                    </w:rPr>
                  </w:pPr>
                </w:p>
              </w:tc>
            </w:tr>
            <w:tr w14:paraId="701DC91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136" w:hRule="atLeast"/>
                <w:jc w:val="center"/>
              </w:trPr>
              <w:tc>
                <w:tcPr>
                  <w:tcW w:w="8548" w:type="dxa"/>
                  <w:gridSpan w:val="6"/>
                </w:tcPr>
                <w:p w14:paraId="56DCCFD4">
                  <w:pPr>
                    <w:spacing w:before="72" w:beforeLines="30" w:line="0" w:lineRule="atLeast"/>
                    <w:rPr>
                      <w:szCs w:val="21"/>
                    </w:rPr>
                  </w:pPr>
                  <w:r>
                    <w:rPr>
                      <w:rFonts w:hint="eastAsia"/>
                      <w:szCs w:val="21"/>
                    </w:rPr>
                    <w:t>测试使用的计量基（标）准装置（含标准物质）/主要仪器</w:t>
                  </w:r>
                </w:p>
              </w:tc>
            </w:tr>
            <w:tr w14:paraId="6C9F40F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671" w:hRule="exact"/>
                <w:jc w:val="center"/>
              </w:trPr>
              <w:tc>
                <w:tcPr>
                  <w:tcW w:w="1883" w:type="dxa"/>
                  <w:vAlign w:val="center"/>
                </w:tcPr>
                <w:p w14:paraId="41B83F5D">
                  <w:pPr>
                    <w:jc w:val="center"/>
                  </w:pPr>
                  <w:r>
                    <w:rPr>
                      <w:rFonts w:hint="eastAsia"/>
                      <w:szCs w:val="21"/>
                    </w:rPr>
                    <w:t>名称</w:t>
                  </w:r>
                </w:p>
              </w:tc>
              <w:tc>
                <w:tcPr>
                  <w:tcW w:w="1519" w:type="dxa"/>
                  <w:vAlign w:val="center"/>
                </w:tcPr>
                <w:p w14:paraId="54639BB1">
                  <w:pPr>
                    <w:jc w:val="center"/>
                  </w:pPr>
                  <w:r>
                    <w:rPr>
                      <w:rFonts w:hint="eastAsia"/>
                      <w:szCs w:val="21"/>
                    </w:rPr>
                    <w:t>测量范围</w:t>
                  </w:r>
                </w:p>
              </w:tc>
              <w:tc>
                <w:tcPr>
                  <w:tcW w:w="1768" w:type="dxa"/>
                  <w:gridSpan w:val="2"/>
                  <w:vAlign w:val="center"/>
                </w:tcPr>
                <w:p w14:paraId="0C58A507">
                  <w:pPr>
                    <w:jc w:val="center"/>
                    <w:rPr>
                      <w:szCs w:val="21"/>
                    </w:rPr>
                  </w:pPr>
                  <w:r>
                    <w:rPr>
                      <w:rFonts w:hint="eastAsia"/>
                      <w:szCs w:val="21"/>
                    </w:rPr>
                    <w:t>不确定度/</w:t>
                  </w:r>
                </w:p>
                <w:p w14:paraId="3FBFBB36">
                  <w:pPr>
                    <w:jc w:val="center"/>
                  </w:pPr>
                  <w:r>
                    <w:rPr>
                      <w:rFonts w:hint="eastAsia"/>
                      <w:szCs w:val="21"/>
                    </w:rPr>
                    <w:t>准确度等级</w:t>
                  </w:r>
                </w:p>
              </w:tc>
              <w:tc>
                <w:tcPr>
                  <w:tcW w:w="1791" w:type="dxa"/>
                  <w:vAlign w:val="center"/>
                </w:tcPr>
                <w:p w14:paraId="397DCCE7">
                  <w:pPr>
                    <w:jc w:val="center"/>
                  </w:pPr>
                  <w:r>
                    <w:rPr>
                      <w:rFonts w:hint="eastAsia"/>
                      <w:szCs w:val="21"/>
                    </w:rPr>
                    <w:t>报告编号</w:t>
                  </w:r>
                </w:p>
              </w:tc>
              <w:tc>
                <w:tcPr>
                  <w:tcW w:w="1587" w:type="dxa"/>
                  <w:vAlign w:val="center"/>
                </w:tcPr>
                <w:p w14:paraId="2A2A7BEE">
                  <w:pPr>
                    <w:jc w:val="center"/>
                    <w:rPr>
                      <w:szCs w:val="21"/>
                    </w:rPr>
                  </w:pPr>
                  <w:r>
                    <w:rPr>
                      <w:rFonts w:hint="eastAsia"/>
                      <w:szCs w:val="21"/>
                    </w:rPr>
                    <w:t>证书有效期至</w:t>
                  </w:r>
                </w:p>
                <w:p w14:paraId="3AE13446">
                  <w:pPr>
                    <w:jc w:val="center"/>
                  </w:pPr>
                  <w:r>
                    <w:rPr>
                      <w:rFonts w:hint="eastAsia"/>
                      <w:sz w:val="18"/>
                      <w:szCs w:val="18"/>
                    </w:rPr>
                    <w:t>(YYYY-MM-DD)</w:t>
                  </w:r>
                </w:p>
              </w:tc>
            </w:tr>
            <w:tr w14:paraId="625B501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5267" w:hRule="atLeast"/>
                <w:jc w:val="center"/>
              </w:trPr>
              <w:tc>
                <w:tcPr>
                  <w:tcW w:w="1883" w:type="dxa"/>
                </w:tcPr>
                <w:p w14:paraId="348C0DE9">
                  <w:pPr>
                    <w:jc w:val="center"/>
                    <w:rPr>
                      <w:rFonts w:hint="eastAsia" w:ascii="宋体" w:hAnsi="宋体"/>
                      <w:color w:val="FF0000"/>
                      <w:szCs w:val="21"/>
                    </w:rPr>
                  </w:pPr>
                </w:p>
              </w:tc>
              <w:tc>
                <w:tcPr>
                  <w:tcW w:w="1519" w:type="dxa"/>
                </w:tcPr>
                <w:p w14:paraId="7BFE76E3">
                  <w:pPr>
                    <w:jc w:val="center"/>
                    <w:rPr>
                      <w:rFonts w:hint="eastAsia" w:ascii="宋体" w:hAnsi="宋体"/>
                      <w:szCs w:val="21"/>
                    </w:rPr>
                  </w:pPr>
                </w:p>
              </w:tc>
              <w:tc>
                <w:tcPr>
                  <w:tcW w:w="1768" w:type="dxa"/>
                  <w:gridSpan w:val="2"/>
                </w:tcPr>
                <w:p w14:paraId="6C23DB19">
                  <w:pPr>
                    <w:ind w:leftChars="-60" w:hanging="126" w:hangingChars="60"/>
                    <w:jc w:val="left"/>
                    <w:rPr>
                      <w:rFonts w:hint="eastAsia" w:ascii="宋体" w:hAnsi="宋体"/>
                      <w:szCs w:val="21"/>
                    </w:rPr>
                  </w:pPr>
                </w:p>
              </w:tc>
              <w:tc>
                <w:tcPr>
                  <w:tcW w:w="1791" w:type="dxa"/>
                </w:tcPr>
                <w:p w14:paraId="36993901">
                  <w:pPr>
                    <w:jc w:val="center"/>
                    <w:rPr>
                      <w:rFonts w:hint="eastAsia" w:ascii="宋体" w:hAnsi="宋体"/>
                      <w:szCs w:val="21"/>
                    </w:rPr>
                  </w:pPr>
                </w:p>
              </w:tc>
              <w:tc>
                <w:tcPr>
                  <w:tcW w:w="1587" w:type="dxa"/>
                </w:tcPr>
                <w:p w14:paraId="2F2CBCFF">
                  <w:pPr>
                    <w:jc w:val="center"/>
                    <w:rPr>
                      <w:rFonts w:hint="eastAsia" w:ascii="宋体" w:hAnsi="宋体"/>
                      <w:szCs w:val="21"/>
                    </w:rPr>
                  </w:pPr>
                </w:p>
              </w:tc>
            </w:tr>
          </w:tbl>
          <w:p w14:paraId="641D3B54">
            <w:pPr>
              <w:jc w:val="center"/>
              <w:rPr>
                <w:color w:val="000000" w:themeColor="text1"/>
                <w:sz w:val="24"/>
                <w14:textFill>
                  <w14:solidFill>
                    <w14:schemeClr w14:val="tx1"/>
                  </w14:solidFill>
                </w14:textFill>
              </w:rPr>
            </w:pPr>
          </w:p>
          <w:p w14:paraId="5079FAB4">
            <w:pPr>
              <w:jc w:val="center"/>
              <w:rPr>
                <w:color w:val="000000" w:themeColor="text1"/>
                <w:sz w:val="24"/>
                <w14:textFill>
                  <w14:solidFill>
                    <w14:schemeClr w14:val="tx1"/>
                  </w14:solidFill>
                </w14:textFill>
              </w:rPr>
            </w:pPr>
          </w:p>
          <w:p w14:paraId="7293A886">
            <w:pPr>
              <w:jc w:val="center"/>
              <w:rPr>
                <w:color w:val="000000" w:themeColor="text1"/>
                <w:sz w:val="24"/>
                <w14:textFill>
                  <w14:solidFill>
                    <w14:schemeClr w14:val="tx1"/>
                  </w14:solidFill>
                </w14:textFill>
              </w:rPr>
            </w:pPr>
          </w:p>
          <w:p w14:paraId="25B5146B">
            <w:pPr>
              <w:jc w:val="center"/>
              <w:rPr>
                <w:color w:val="000000" w:themeColor="text1"/>
                <w:sz w:val="24"/>
                <w14:textFill>
                  <w14:solidFill>
                    <w14:schemeClr w14:val="tx1"/>
                  </w14:solidFill>
                </w14:textFill>
              </w:rPr>
            </w:pPr>
          </w:p>
          <w:p w14:paraId="2EDD0A8A">
            <w:pPr>
              <w:jc w:val="center"/>
              <w:rPr>
                <w:color w:val="000000" w:themeColor="text1"/>
                <w:sz w:val="24"/>
                <w14:textFill>
                  <w14:solidFill>
                    <w14:schemeClr w14:val="tx1"/>
                  </w14:solidFill>
                </w14:textFill>
              </w:rPr>
            </w:pPr>
            <w:r>
              <w:rPr>
                <w:rFonts w:hint="eastAsia"/>
                <w:color w:val="000000" w:themeColor="text1"/>
                <w:szCs w:val="21"/>
                <w14:textFill>
                  <w14:solidFill>
                    <w14:schemeClr w14:val="tx1"/>
                  </w14:solidFill>
                </w14:textFill>
              </w:rPr>
              <w:t>第</w:t>
            </w:r>
            <w:r>
              <w:rPr>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页 共</w:t>
            </w:r>
            <w:r>
              <w:rPr>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页</w:t>
            </w:r>
          </w:p>
        </w:tc>
      </w:tr>
    </w:tbl>
    <w:p w14:paraId="5F6AC8E2">
      <w:pPr>
        <w:rPr>
          <w:rFonts w:hint="eastAsia" w:ascii="黑体" w:hAnsi="黑体" w:eastAsia="黑体"/>
          <w:color w:val="000000" w:themeColor="text1"/>
          <w:sz w:val="24"/>
          <w14:textFill>
            <w14:solidFill>
              <w14:schemeClr w14:val="tx1"/>
            </w14:solidFill>
          </w14:textFill>
        </w:rPr>
      </w:pPr>
    </w:p>
    <w:p w14:paraId="1EA960FE">
      <w:pPr>
        <w:rPr>
          <w:rFonts w:hint="eastAsia" w:ascii="黑体" w:hAnsi="黑体" w:eastAsia="黑体"/>
          <w:color w:val="000000" w:themeColor="text1"/>
          <w:sz w:val="24"/>
          <w14:textFill>
            <w14:solidFill>
              <w14:schemeClr w14:val="tx1"/>
            </w14:solidFill>
          </w14:textFill>
        </w:rPr>
      </w:pPr>
    </w:p>
    <w:p w14:paraId="62FAB069">
      <w:pPr>
        <w:rPr>
          <w:rFonts w:hint="eastAsia"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C</w:t>
      </w:r>
      <w:r>
        <w:rPr>
          <w:rFonts w:ascii="黑体" w:hAnsi="黑体" w:eastAsia="黑体"/>
          <w:color w:val="000000" w:themeColor="text1"/>
          <w:sz w:val="24"/>
          <w14:textFill>
            <w14:solidFill>
              <w14:schemeClr w14:val="tx1"/>
            </w14:solidFill>
          </w14:textFill>
        </w:rPr>
        <w:t xml:space="preserve">.2 </w:t>
      </w:r>
      <w:r>
        <w:rPr>
          <w:rFonts w:hint="eastAsia" w:ascii="黑体" w:hAnsi="黑体" w:eastAsia="黑体"/>
          <w:color w:val="000000" w:themeColor="text1"/>
          <w:sz w:val="24"/>
          <w14:textFill>
            <w14:solidFill>
              <w14:schemeClr w14:val="tx1"/>
            </w14:solidFill>
          </w14:textFill>
        </w:rPr>
        <w:t>证书第3页式样</w:t>
      </w:r>
    </w:p>
    <w:p w14:paraId="464E9891">
      <w:pPr>
        <w:rPr>
          <w:sz w:val="24"/>
        </w:rPr>
      </w:pP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0"/>
      </w:tblGrid>
      <w:tr w14:paraId="5D3A1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8" w:hRule="atLeast"/>
          <w:jc w:val="center"/>
        </w:trPr>
        <w:tc>
          <w:tcPr>
            <w:tcW w:w="8430" w:type="dxa"/>
            <w:tcBorders>
              <w:top w:val="single" w:color="auto" w:sz="4" w:space="0"/>
              <w:left w:val="single" w:color="auto" w:sz="4" w:space="0"/>
              <w:bottom w:val="single" w:color="auto" w:sz="4" w:space="0"/>
              <w:right w:val="single" w:color="auto" w:sz="4" w:space="0"/>
            </w:tcBorders>
          </w:tcPr>
          <w:p w14:paraId="503FC625">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证书编号：</w:t>
            </w:r>
            <w:r>
              <w:rPr>
                <w:color w:val="000000" w:themeColor="text1"/>
                <w:szCs w:val="21"/>
                <w14:textFill>
                  <w14:solidFill>
                    <w14:schemeClr w14:val="tx1"/>
                  </w14:solidFill>
                </w14:textFill>
              </w:rPr>
              <w:t>XXXX-XXXX</w:t>
            </w:r>
          </w:p>
          <w:p w14:paraId="39A1609E">
            <w:pPr>
              <w:jc w:val="center"/>
              <w:rPr>
                <w:color w:val="000000" w:themeColor="text1"/>
                <w:sz w:val="24"/>
                <w14:textFill>
                  <w14:solidFill>
                    <w14:schemeClr w14:val="tx1"/>
                  </w14:solidFill>
                </w14:textFill>
              </w:rPr>
            </w:pPr>
          </w:p>
          <w:p w14:paraId="36953EA6">
            <w:pP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测试结果：</w:t>
            </w:r>
          </w:p>
          <w:p w14:paraId="1B4C133A">
            <w:pPr>
              <w:rPr>
                <w:rFonts w:hint="eastAsia"/>
                <w:color w:val="000000" w:themeColor="text1"/>
                <w:sz w:val="24"/>
                <w14:textFill>
                  <w14:solidFill>
                    <w14:schemeClr w14:val="tx1"/>
                  </w14:solidFill>
                </w14:textFill>
              </w:rPr>
            </w:pPr>
          </w:p>
          <w:tbl>
            <w:tblPr>
              <w:tblStyle w:val="18"/>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818"/>
              <w:gridCol w:w="1550"/>
              <w:gridCol w:w="2986"/>
              <w:gridCol w:w="2742"/>
            </w:tblGrid>
            <w:tr w14:paraId="1C60960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1" w:hRule="atLeast"/>
                <w:jc w:val="center"/>
              </w:trPr>
              <w:tc>
                <w:tcPr>
                  <w:tcW w:w="818" w:type="dxa"/>
                  <w:vAlign w:val="center"/>
                </w:tcPr>
                <w:p w14:paraId="67A8B8F1">
                  <w:pPr>
                    <w:pStyle w:val="34"/>
                    <w:jc w:val="center"/>
                    <w:rPr>
                      <w:rFonts w:hint="eastAsia" w:hAnsi="宋体"/>
                    </w:rPr>
                  </w:pPr>
                  <w:r>
                    <w:rPr>
                      <w:rFonts w:hint="eastAsia" w:hAnsi="宋体"/>
                    </w:rPr>
                    <w:t>序号</w:t>
                  </w:r>
                </w:p>
              </w:tc>
              <w:tc>
                <w:tcPr>
                  <w:tcW w:w="1550" w:type="dxa"/>
                  <w:vAlign w:val="center"/>
                </w:tcPr>
                <w:p w14:paraId="4ECBE02C">
                  <w:pPr>
                    <w:pStyle w:val="34"/>
                    <w:jc w:val="center"/>
                    <w:rPr>
                      <w:rFonts w:hint="eastAsia" w:hAnsi="宋体"/>
                    </w:rPr>
                  </w:pPr>
                  <w:r>
                    <w:rPr>
                      <w:rFonts w:hint="eastAsia" w:hAnsi="宋体"/>
                    </w:rPr>
                    <w:t>技术项目</w:t>
                  </w:r>
                </w:p>
              </w:tc>
              <w:tc>
                <w:tcPr>
                  <w:tcW w:w="2986" w:type="dxa"/>
                  <w:vAlign w:val="center"/>
                </w:tcPr>
                <w:p w14:paraId="7E63E407">
                  <w:pPr>
                    <w:pStyle w:val="34"/>
                    <w:jc w:val="center"/>
                    <w:rPr>
                      <w:rFonts w:hint="eastAsia" w:hAnsi="宋体"/>
                    </w:rPr>
                  </w:pPr>
                  <w:r>
                    <w:rPr>
                      <w:rFonts w:hint="eastAsia" w:hAnsi="宋体"/>
                    </w:rPr>
                    <w:t>测试</w:t>
                  </w:r>
                  <w:r>
                    <w:rPr>
                      <w:rFonts w:hAnsi="宋体"/>
                    </w:rPr>
                    <w:t>结果</w:t>
                  </w:r>
                </w:p>
              </w:tc>
              <w:tc>
                <w:tcPr>
                  <w:tcW w:w="2742" w:type="dxa"/>
                  <w:vAlign w:val="center"/>
                </w:tcPr>
                <w:p w14:paraId="592FDDE6">
                  <w:pPr>
                    <w:pStyle w:val="34"/>
                    <w:jc w:val="center"/>
                    <w:rPr>
                      <w:rFonts w:hint="eastAsia" w:hAnsi="宋体"/>
                    </w:rPr>
                  </w:pPr>
                  <w:r>
                    <w:rPr>
                      <w:rFonts w:hint="eastAsia" w:hAnsi="宋体"/>
                    </w:rPr>
                    <w:t>技术要求</w:t>
                  </w:r>
                </w:p>
              </w:tc>
            </w:tr>
            <w:tr w14:paraId="3E79A32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818" w:type="dxa"/>
                  <w:vAlign w:val="center"/>
                </w:tcPr>
                <w:p w14:paraId="40692DDD">
                  <w:pPr>
                    <w:pStyle w:val="34"/>
                    <w:jc w:val="center"/>
                    <w:rPr>
                      <w:rFonts w:hAnsi="宋体" w:cs="Times New Roman"/>
                    </w:rPr>
                  </w:pPr>
                  <w:r>
                    <w:rPr>
                      <w:rFonts w:hAnsi="宋体" w:cs="Times New Roman"/>
                    </w:rPr>
                    <w:t>1</w:t>
                  </w:r>
                </w:p>
              </w:tc>
              <w:tc>
                <w:tcPr>
                  <w:tcW w:w="1550" w:type="dxa"/>
                  <w:vAlign w:val="center"/>
                </w:tcPr>
                <w:p w14:paraId="1E115985">
                  <w:pPr>
                    <w:pStyle w:val="34"/>
                    <w:jc w:val="center"/>
                    <w:rPr>
                      <w:rFonts w:hAnsi="宋体" w:cs="Times New Roman"/>
                    </w:rPr>
                  </w:pPr>
                  <w:r>
                    <w:rPr>
                      <w:rFonts w:hAnsi="宋体" w:cs="Times New Roman"/>
                    </w:rPr>
                    <w:t>浆料固含量</w:t>
                  </w:r>
                </w:p>
              </w:tc>
              <w:tc>
                <w:tcPr>
                  <w:tcW w:w="2986" w:type="dxa"/>
                  <w:vAlign w:val="center"/>
                </w:tcPr>
                <w:p w14:paraId="1AA3FBD1">
                  <w:pPr>
                    <w:pStyle w:val="34"/>
                    <w:jc w:val="center"/>
                    <w:rPr>
                      <w:rFonts w:hAnsi="宋体" w:cs="Times New Roman"/>
                    </w:rPr>
                  </w:pPr>
                </w:p>
              </w:tc>
              <w:tc>
                <w:tcPr>
                  <w:tcW w:w="2742" w:type="dxa"/>
                  <w:vAlign w:val="center"/>
                </w:tcPr>
                <w:p w14:paraId="42A7E7EF">
                  <w:pPr>
                    <w:pStyle w:val="34"/>
                    <w:jc w:val="center"/>
                    <w:rPr>
                      <w:rFonts w:ascii="Times New Roman" w:cs="Times New Roman"/>
                    </w:rPr>
                  </w:pPr>
                  <w:r>
                    <w:rPr>
                      <w:rFonts w:ascii="Times New Roman" w:cs="Times New Roman"/>
                    </w:rPr>
                    <w:t>35%~50%（饼料）0.1%~1.5%（浆料）</w:t>
                  </w:r>
                </w:p>
              </w:tc>
            </w:tr>
            <w:tr w14:paraId="4947668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818" w:type="dxa"/>
                  <w:vAlign w:val="center"/>
                </w:tcPr>
                <w:p w14:paraId="5B74D526">
                  <w:pPr>
                    <w:pStyle w:val="34"/>
                    <w:jc w:val="center"/>
                    <w:rPr>
                      <w:rFonts w:hAnsi="宋体" w:cs="Times New Roman"/>
                    </w:rPr>
                  </w:pPr>
                  <w:r>
                    <w:rPr>
                      <w:rFonts w:hAnsi="宋体" w:cs="Times New Roman"/>
                    </w:rPr>
                    <w:t>2</w:t>
                  </w:r>
                </w:p>
              </w:tc>
              <w:tc>
                <w:tcPr>
                  <w:tcW w:w="1550" w:type="dxa"/>
                  <w:vAlign w:val="center"/>
                </w:tcPr>
                <w:p w14:paraId="2C2205AC">
                  <w:pPr>
                    <w:pStyle w:val="34"/>
                    <w:jc w:val="center"/>
                    <w:rPr>
                      <w:rFonts w:hAnsi="宋体" w:cs="Times New Roman"/>
                    </w:rPr>
                  </w:pPr>
                  <w:r>
                    <w:rPr>
                      <w:rFonts w:hint="eastAsia" w:hAnsi="宋体" w:cs="Times New Roman"/>
                    </w:rPr>
                    <w:t>浆料</w:t>
                  </w:r>
                  <w:r>
                    <w:rPr>
                      <w:rFonts w:hAnsi="宋体" w:cs="Times New Roman"/>
                    </w:rPr>
                    <w:t>pH值</w:t>
                  </w:r>
                </w:p>
              </w:tc>
              <w:tc>
                <w:tcPr>
                  <w:tcW w:w="2986" w:type="dxa"/>
                  <w:vAlign w:val="center"/>
                </w:tcPr>
                <w:p w14:paraId="30405C6B">
                  <w:pPr>
                    <w:pStyle w:val="34"/>
                    <w:jc w:val="center"/>
                    <w:rPr>
                      <w:rFonts w:hAnsi="宋体" w:cs="Times New Roman"/>
                    </w:rPr>
                  </w:pPr>
                </w:p>
              </w:tc>
              <w:tc>
                <w:tcPr>
                  <w:tcW w:w="2742" w:type="dxa"/>
                  <w:vAlign w:val="center"/>
                </w:tcPr>
                <w:p w14:paraId="3FE58B83">
                  <w:pPr>
                    <w:pStyle w:val="34"/>
                    <w:jc w:val="center"/>
                    <w:rPr>
                      <w:rFonts w:ascii="Times New Roman" w:cs="Times New Roman"/>
                    </w:rPr>
                  </w:pPr>
                  <w:r>
                    <w:rPr>
                      <w:rFonts w:ascii="Times New Roman" w:cs="Times New Roman"/>
                    </w:rPr>
                    <w:t>2.7～3.0</w:t>
                  </w:r>
                </w:p>
                <w:p w14:paraId="302652E8">
                  <w:pPr>
                    <w:pStyle w:val="34"/>
                    <w:jc w:val="center"/>
                    <w:rPr>
                      <w:rFonts w:ascii="Times New Roman" w:cs="Times New Roman"/>
                    </w:rPr>
                  </w:pPr>
                  <w:r>
                    <w:rPr>
                      <w:rFonts w:ascii="Times New Roman" w:cs="Times New Roman"/>
                    </w:rPr>
                    <w:t>（0.5 wt %浆料）</w:t>
                  </w:r>
                </w:p>
              </w:tc>
            </w:tr>
            <w:tr w14:paraId="2E84C4C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45" w:hRule="atLeast"/>
                <w:jc w:val="center"/>
              </w:trPr>
              <w:tc>
                <w:tcPr>
                  <w:tcW w:w="818" w:type="dxa"/>
                  <w:vAlign w:val="center"/>
                </w:tcPr>
                <w:p w14:paraId="206B1715">
                  <w:pPr>
                    <w:pStyle w:val="34"/>
                    <w:jc w:val="center"/>
                    <w:rPr>
                      <w:rFonts w:hAnsi="宋体" w:cs="Times New Roman"/>
                    </w:rPr>
                  </w:pPr>
                  <w:r>
                    <w:rPr>
                      <w:rFonts w:hAnsi="宋体" w:cs="Times New Roman"/>
                    </w:rPr>
                    <w:t>3</w:t>
                  </w:r>
                </w:p>
              </w:tc>
              <w:tc>
                <w:tcPr>
                  <w:tcW w:w="1550" w:type="dxa"/>
                  <w:vAlign w:val="center"/>
                </w:tcPr>
                <w:p w14:paraId="476138C0">
                  <w:pPr>
                    <w:pStyle w:val="34"/>
                    <w:jc w:val="center"/>
                    <w:rPr>
                      <w:rFonts w:hint="eastAsia" w:hAnsi="宋体" w:cs="Times New Roman"/>
                    </w:rPr>
                  </w:pPr>
                  <w:r>
                    <w:rPr>
                      <w:rFonts w:hAnsi="宋体" w:cs="Times New Roman"/>
                    </w:rPr>
                    <w:t>浆料黏度</w:t>
                  </w:r>
                </w:p>
              </w:tc>
              <w:tc>
                <w:tcPr>
                  <w:tcW w:w="2986" w:type="dxa"/>
                  <w:vAlign w:val="center"/>
                </w:tcPr>
                <w:p w14:paraId="77CAF976">
                  <w:pPr>
                    <w:pStyle w:val="34"/>
                    <w:jc w:val="center"/>
                    <w:rPr>
                      <w:rFonts w:hAnsi="宋体" w:cs="Times New Roman"/>
                    </w:rPr>
                  </w:pPr>
                </w:p>
              </w:tc>
              <w:tc>
                <w:tcPr>
                  <w:tcW w:w="2742" w:type="dxa"/>
                  <w:vAlign w:val="center"/>
                </w:tcPr>
                <w:p w14:paraId="40D10A4B">
                  <w:pPr>
                    <w:pStyle w:val="34"/>
                    <w:jc w:val="center"/>
                    <w:rPr>
                      <w:rFonts w:ascii="Times New Roman" w:cs="Times New Roman"/>
                    </w:rPr>
                  </w:pPr>
                  <w:r>
                    <w:rPr>
                      <w:rFonts w:ascii="Times New Roman" w:cs="Times New Roman"/>
                    </w:rPr>
                    <w:t>&lt; 30 Pa·s</w:t>
                  </w:r>
                </w:p>
              </w:tc>
            </w:tr>
            <w:tr w14:paraId="560C6E0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53" w:hRule="atLeast"/>
                <w:jc w:val="center"/>
              </w:trPr>
              <w:tc>
                <w:tcPr>
                  <w:tcW w:w="818" w:type="dxa"/>
                  <w:vAlign w:val="center"/>
                </w:tcPr>
                <w:p w14:paraId="51C606B4">
                  <w:pPr>
                    <w:pStyle w:val="34"/>
                    <w:jc w:val="center"/>
                    <w:rPr>
                      <w:rFonts w:hAnsi="宋体" w:cs="Times New Roman"/>
                    </w:rPr>
                  </w:pPr>
                  <w:r>
                    <w:rPr>
                      <w:rFonts w:hAnsi="宋体" w:cs="Times New Roman"/>
                    </w:rPr>
                    <w:t>4</w:t>
                  </w:r>
                </w:p>
              </w:tc>
              <w:tc>
                <w:tcPr>
                  <w:tcW w:w="1550" w:type="dxa"/>
                  <w:vAlign w:val="center"/>
                </w:tcPr>
                <w:p w14:paraId="34FC0EA5">
                  <w:pPr>
                    <w:pStyle w:val="34"/>
                    <w:jc w:val="center"/>
                    <w:rPr>
                      <w:rFonts w:hAnsi="宋体" w:cs="Times New Roman"/>
                    </w:rPr>
                  </w:pPr>
                  <w:r>
                    <w:rPr>
                      <w:rFonts w:hint="eastAsia" w:hAnsi="宋体" w:cs="Times New Roman"/>
                    </w:rPr>
                    <w:t>浆料粒度</w:t>
                  </w:r>
                </w:p>
              </w:tc>
              <w:tc>
                <w:tcPr>
                  <w:tcW w:w="2986" w:type="dxa"/>
                  <w:vAlign w:val="center"/>
                </w:tcPr>
                <w:p w14:paraId="44CA8EF5">
                  <w:pPr>
                    <w:pStyle w:val="34"/>
                    <w:jc w:val="center"/>
                    <w:rPr>
                      <w:rFonts w:hAnsi="宋体" w:cs="Times New Roman"/>
                    </w:rPr>
                  </w:pPr>
                </w:p>
              </w:tc>
              <w:tc>
                <w:tcPr>
                  <w:tcW w:w="2742" w:type="dxa"/>
                  <w:vAlign w:val="center"/>
                </w:tcPr>
                <w:p w14:paraId="29DB1DA1">
                  <w:pPr>
                    <w:pStyle w:val="34"/>
                    <w:jc w:val="center"/>
                    <w:rPr>
                      <w:rFonts w:ascii="Times New Roman" w:cs="Times New Roman"/>
                    </w:rPr>
                  </w:pPr>
                  <w:r>
                    <w:rPr>
                      <w:rFonts w:hint="eastAsia" w:ascii="Times New Roman" w:cs="Times New Roman"/>
                    </w:rPr>
                    <w:t>&gt;</w:t>
                  </w:r>
                  <w:r>
                    <w:rPr>
                      <w:rFonts w:ascii="Times New Roman" w:cs="Times New Roman"/>
                    </w:rPr>
                    <w:t>10</w:t>
                  </w:r>
                  <w:r>
                    <w:rPr>
                      <w:rFonts w:hint="eastAsia" w:ascii="Times New Roman" w:cs="Times New Roman"/>
                    </w:rPr>
                    <w:t xml:space="preserve"> </w:t>
                  </w:r>
                  <w:r>
                    <w:rPr>
                      <w:rFonts w:ascii="Times New Roman" w:cs="Times New Roman"/>
                    </w:rPr>
                    <w:t>μm</w:t>
                  </w:r>
                </w:p>
              </w:tc>
            </w:tr>
            <w:tr w14:paraId="4424199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47" w:hRule="atLeast"/>
                <w:jc w:val="center"/>
              </w:trPr>
              <w:tc>
                <w:tcPr>
                  <w:tcW w:w="818" w:type="dxa"/>
                  <w:vAlign w:val="center"/>
                </w:tcPr>
                <w:p w14:paraId="5335E1A6">
                  <w:pPr>
                    <w:pStyle w:val="34"/>
                    <w:jc w:val="center"/>
                    <w:rPr>
                      <w:rFonts w:hAnsi="宋体" w:cs="Times New Roman"/>
                    </w:rPr>
                  </w:pPr>
                  <w:r>
                    <w:rPr>
                      <w:rFonts w:hint="eastAsia" w:hAnsi="宋体" w:cs="Times New Roman"/>
                    </w:rPr>
                    <w:t>5</w:t>
                  </w:r>
                </w:p>
              </w:tc>
              <w:tc>
                <w:tcPr>
                  <w:tcW w:w="1550" w:type="dxa"/>
                  <w:vAlign w:val="center"/>
                </w:tcPr>
                <w:p w14:paraId="551E8082">
                  <w:pPr>
                    <w:pStyle w:val="34"/>
                    <w:jc w:val="center"/>
                    <w:rPr>
                      <w:rFonts w:hAnsi="宋体" w:cs="Times New Roman"/>
                    </w:rPr>
                  </w:pPr>
                  <w:r>
                    <w:rPr>
                      <w:rFonts w:hint="eastAsia" w:hAnsi="宋体" w:cs="Times New Roman"/>
                    </w:rPr>
                    <w:t>片径尺寸</w:t>
                  </w:r>
                </w:p>
              </w:tc>
              <w:tc>
                <w:tcPr>
                  <w:tcW w:w="2986" w:type="dxa"/>
                  <w:vAlign w:val="center"/>
                </w:tcPr>
                <w:p w14:paraId="0E34E7F3">
                  <w:pPr>
                    <w:pStyle w:val="34"/>
                    <w:jc w:val="center"/>
                    <w:rPr>
                      <w:rFonts w:hAnsi="宋体" w:cs="Times New Roman"/>
                    </w:rPr>
                  </w:pPr>
                </w:p>
              </w:tc>
              <w:tc>
                <w:tcPr>
                  <w:tcW w:w="2742" w:type="dxa"/>
                  <w:vAlign w:val="center"/>
                </w:tcPr>
                <w:p w14:paraId="0BCCA008">
                  <w:pPr>
                    <w:pStyle w:val="34"/>
                    <w:jc w:val="center"/>
                    <w:rPr>
                      <w:rFonts w:ascii="Times New Roman" w:cs="Times New Roman"/>
                    </w:rPr>
                  </w:pPr>
                  <w:r>
                    <w:rPr>
                      <w:rFonts w:hint="eastAsia" w:ascii="Times New Roman" w:cs="Times New Roman"/>
                    </w:rPr>
                    <w:t>&gt;</w:t>
                  </w:r>
                  <w:r>
                    <w:rPr>
                      <w:rFonts w:ascii="Times New Roman" w:cs="Times New Roman"/>
                    </w:rPr>
                    <w:t>10</w:t>
                  </w:r>
                  <w:r>
                    <w:rPr>
                      <w:rFonts w:hint="eastAsia" w:ascii="Times New Roman" w:cs="Times New Roman"/>
                    </w:rPr>
                    <w:t xml:space="preserve"> </w:t>
                  </w:r>
                  <w:r>
                    <w:rPr>
                      <w:rFonts w:ascii="Times New Roman" w:cs="Times New Roman"/>
                    </w:rPr>
                    <w:t>μm</w:t>
                  </w:r>
                </w:p>
              </w:tc>
            </w:tr>
            <w:tr w14:paraId="0644BD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55" w:hRule="atLeast"/>
                <w:jc w:val="center"/>
              </w:trPr>
              <w:tc>
                <w:tcPr>
                  <w:tcW w:w="818" w:type="dxa"/>
                  <w:vAlign w:val="center"/>
                </w:tcPr>
                <w:p w14:paraId="37F58E2B">
                  <w:pPr>
                    <w:pStyle w:val="34"/>
                    <w:jc w:val="center"/>
                    <w:rPr>
                      <w:rFonts w:hAnsi="宋体" w:cs="Times New Roman"/>
                    </w:rPr>
                  </w:pPr>
                  <w:r>
                    <w:rPr>
                      <w:rFonts w:hint="eastAsia" w:hAnsi="宋体" w:cs="Times New Roman"/>
                    </w:rPr>
                    <w:t>6</w:t>
                  </w:r>
                </w:p>
              </w:tc>
              <w:tc>
                <w:tcPr>
                  <w:tcW w:w="1550" w:type="dxa"/>
                  <w:vAlign w:val="center"/>
                </w:tcPr>
                <w:p w14:paraId="625BCDD4">
                  <w:pPr>
                    <w:pStyle w:val="34"/>
                    <w:jc w:val="center"/>
                    <w:rPr>
                      <w:rFonts w:hAnsi="宋体" w:cs="Times New Roman"/>
                    </w:rPr>
                  </w:pPr>
                  <w:r>
                    <w:rPr>
                      <w:rFonts w:hint="eastAsia" w:hAnsi="宋体" w:cs="Times New Roman"/>
                    </w:rPr>
                    <w:t>单层</w:t>
                  </w:r>
                  <w:r>
                    <w:rPr>
                      <w:rFonts w:hAnsi="宋体" w:cs="Times New Roman"/>
                    </w:rPr>
                    <w:t>厚度</w:t>
                  </w:r>
                </w:p>
              </w:tc>
              <w:tc>
                <w:tcPr>
                  <w:tcW w:w="2986" w:type="dxa"/>
                  <w:vAlign w:val="center"/>
                </w:tcPr>
                <w:p w14:paraId="76F41F6B">
                  <w:pPr>
                    <w:pStyle w:val="34"/>
                    <w:jc w:val="center"/>
                    <w:rPr>
                      <w:rFonts w:hAnsi="宋体" w:cs="Times New Roman"/>
                    </w:rPr>
                  </w:pPr>
                </w:p>
              </w:tc>
              <w:tc>
                <w:tcPr>
                  <w:tcW w:w="2742" w:type="dxa"/>
                  <w:vAlign w:val="center"/>
                </w:tcPr>
                <w:p w14:paraId="0E66512C">
                  <w:pPr>
                    <w:pStyle w:val="34"/>
                    <w:jc w:val="center"/>
                    <w:rPr>
                      <w:rFonts w:ascii="Times New Roman" w:cs="Times New Roman"/>
                    </w:rPr>
                  </w:pPr>
                  <w:r>
                    <w:rPr>
                      <w:rFonts w:ascii="Times New Roman" w:cs="Times New Roman"/>
                    </w:rPr>
                    <w:t>单层厚度 ≤ 1.2nm</w:t>
                  </w:r>
                </w:p>
              </w:tc>
            </w:tr>
            <w:tr w14:paraId="717B004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22" w:hRule="atLeast"/>
                <w:jc w:val="center"/>
              </w:trPr>
              <w:tc>
                <w:tcPr>
                  <w:tcW w:w="818" w:type="dxa"/>
                  <w:vAlign w:val="center"/>
                </w:tcPr>
                <w:p w14:paraId="56E1C559">
                  <w:pPr>
                    <w:pStyle w:val="34"/>
                    <w:jc w:val="center"/>
                    <w:rPr>
                      <w:rFonts w:hAnsi="宋体" w:cs="Times New Roman"/>
                    </w:rPr>
                  </w:pPr>
                  <w:r>
                    <w:rPr>
                      <w:rFonts w:hint="eastAsia" w:hAnsi="宋体" w:cs="Times New Roman"/>
                    </w:rPr>
                    <w:t>7</w:t>
                  </w:r>
                </w:p>
              </w:tc>
              <w:tc>
                <w:tcPr>
                  <w:tcW w:w="1550" w:type="dxa"/>
                  <w:vAlign w:val="center"/>
                </w:tcPr>
                <w:p w14:paraId="2E5CCC90">
                  <w:pPr>
                    <w:pStyle w:val="34"/>
                    <w:jc w:val="center"/>
                    <w:rPr>
                      <w:rFonts w:hAnsi="宋体" w:cs="Times New Roman"/>
                    </w:rPr>
                  </w:pPr>
                  <w:r>
                    <w:rPr>
                      <w:rFonts w:hint="eastAsia" w:hAnsi="宋体" w:cs="Times New Roman"/>
                    </w:rPr>
                    <w:t>单层率</w:t>
                  </w:r>
                </w:p>
              </w:tc>
              <w:tc>
                <w:tcPr>
                  <w:tcW w:w="2986" w:type="dxa"/>
                  <w:vAlign w:val="center"/>
                </w:tcPr>
                <w:p w14:paraId="39207300">
                  <w:pPr>
                    <w:pStyle w:val="34"/>
                    <w:jc w:val="center"/>
                    <w:rPr>
                      <w:rFonts w:hAnsi="宋体" w:cs="Times New Roman"/>
                    </w:rPr>
                  </w:pPr>
                </w:p>
              </w:tc>
              <w:tc>
                <w:tcPr>
                  <w:tcW w:w="2742" w:type="dxa"/>
                  <w:vAlign w:val="center"/>
                </w:tcPr>
                <w:p w14:paraId="2CE893CE">
                  <w:pPr>
                    <w:pStyle w:val="34"/>
                    <w:jc w:val="center"/>
                    <w:rPr>
                      <w:rFonts w:ascii="Times New Roman" w:cs="Times New Roman"/>
                    </w:rPr>
                  </w:pPr>
                  <w:r>
                    <w:rPr>
                      <w:rFonts w:ascii="Times New Roman" w:cs="Times New Roman"/>
                    </w:rPr>
                    <w:t>&gt;90</w:t>
                  </w:r>
                </w:p>
              </w:tc>
            </w:tr>
            <w:tr w14:paraId="308978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85" w:hRule="atLeast"/>
                <w:jc w:val="center"/>
              </w:trPr>
              <w:tc>
                <w:tcPr>
                  <w:tcW w:w="818" w:type="dxa"/>
                  <w:vAlign w:val="center"/>
                </w:tcPr>
                <w:p w14:paraId="2BD87EA0">
                  <w:pPr>
                    <w:pStyle w:val="34"/>
                    <w:jc w:val="center"/>
                    <w:rPr>
                      <w:rFonts w:hAnsi="宋体" w:cs="Times New Roman"/>
                    </w:rPr>
                  </w:pPr>
                  <w:r>
                    <w:rPr>
                      <w:rFonts w:hint="eastAsia" w:hAnsi="宋体" w:cs="Times New Roman"/>
                    </w:rPr>
                    <w:t>8</w:t>
                  </w:r>
                </w:p>
              </w:tc>
              <w:tc>
                <w:tcPr>
                  <w:tcW w:w="1550" w:type="dxa"/>
                  <w:vAlign w:val="center"/>
                </w:tcPr>
                <w:p w14:paraId="2B7E7D91">
                  <w:pPr>
                    <w:pStyle w:val="34"/>
                    <w:jc w:val="center"/>
                    <w:rPr>
                      <w:rFonts w:hAnsi="宋体" w:cs="Times New Roman"/>
                    </w:rPr>
                  </w:pPr>
                  <w:r>
                    <w:rPr>
                      <w:rFonts w:hint="eastAsia" w:hAnsi="宋体" w:cs="Times New Roman"/>
                    </w:rPr>
                    <w:t>碳氧比</w:t>
                  </w:r>
                </w:p>
              </w:tc>
              <w:tc>
                <w:tcPr>
                  <w:tcW w:w="2986" w:type="dxa"/>
                  <w:vAlign w:val="center"/>
                </w:tcPr>
                <w:p w14:paraId="2EA3FB6B">
                  <w:pPr>
                    <w:pStyle w:val="34"/>
                    <w:jc w:val="center"/>
                    <w:rPr>
                      <w:rFonts w:hAnsi="宋体" w:cs="Times New Roman"/>
                    </w:rPr>
                  </w:pPr>
                </w:p>
              </w:tc>
              <w:tc>
                <w:tcPr>
                  <w:tcW w:w="2742" w:type="dxa"/>
                  <w:vAlign w:val="center"/>
                </w:tcPr>
                <w:p w14:paraId="63F1063F">
                  <w:pPr>
                    <w:pStyle w:val="34"/>
                    <w:jc w:val="center"/>
                    <w:rPr>
                      <w:rFonts w:ascii="Times New Roman" w:cs="Times New Roman"/>
                    </w:rPr>
                  </w:pPr>
                  <w:r>
                    <w:rPr>
                      <w:rFonts w:ascii="Times New Roman" w:cs="Times New Roman"/>
                    </w:rPr>
                    <w:t>~2.0</w:t>
                  </w:r>
                </w:p>
              </w:tc>
            </w:tr>
          </w:tbl>
          <w:p w14:paraId="16344F3B">
            <w:pPr>
              <w:jc w:val="center"/>
              <w:rPr>
                <w:color w:val="000000" w:themeColor="text1"/>
                <w:sz w:val="24"/>
                <w14:textFill>
                  <w14:solidFill>
                    <w14:schemeClr w14:val="tx1"/>
                  </w14:solidFill>
                </w14:textFill>
              </w:rPr>
            </w:pPr>
          </w:p>
          <w:p w14:paraId="6FD047A6">
            <w:pPr>
              <w:rPr>
                <w:color w:val="000000" w:themeColor="text1"/>
                <w:sz w:val="24"/>
                <w14:textFill>
                  <w14:solidFill>
                    <w14:schemeClr w14:val="tx1"/>
                  </w14:solidFill>
                </w14:textFill>
              </w:rPr>
            </w:pPr>
            <w:r>
              <w:rPr>
                <w:rFonts w:hint="eastAsia"/>
                <w:sz w:val="24"/>
              </w:rPr>
              <w:t>氧化石墨烯浆料测量评价</w:t>
            </w:r>
            <w:r>
              <w:rPr>
                <w:rFonts w:hint="eastAsia"/>
                <w:color w:val="000000" w:themeColor="text1"/>
                <w:sz w:val="24"/>
                <w14:textFill>
                  <w14:solidFill>
                    <w14:schemeClr w14:val="tx1"/>
                  </w14:solidFill>
                </w14:textFill>
              </w:rPr>
              <w:t>结论：</w:t>
            </w:r>
          </w:p>
          <w:p w14:paraId="1AA5E352">
            <w:pPr>
              <w:rPr>
                <w:color w:val="000000" w:themeColor="text1"/>
                <w:sz w:val="24"/>
                <w14:textFill>
                  <w14:solidFill>
                    <w14:schemeClr w14:val="tx1"/>
                  </w14:solidFill>
                </w14:textFill>
              </w:rPr>
            </w:pPr>
          </w:p>
          <w:p w14:paraId="24599482">
            <w:pPr>
              <w:jc w:val="center"/>
              <w:rPr>
                <w:color w:val="000000" w:themeColor="text1"/>
                <w:sz w:val="24"/>
                <w14:textFill>
                  <w14:solidFill>
                    <w14:schemeClr w14:val="tx1"/>
                  </w14:solidFill>
                </w14:textFill>
              </w:rPr>
            </w:pPr>
          </w:p>
          <w:p w14:paraId="1BA2F39B">
            <w:pPr>
              <w:jc w:val="center"/>
              <w:rPr>
                <w:color w:val="000000" w:themeColor="text1"/>
                <w:sz w:val="24"/>
                <w14:textFill>
                  <w14:solidFill>
                    <w14:schemeClr w14:val="tx1"/>
                  </w14:solidFill>
                </w14:textFill>
              </w:rPr>
            </w:pPr>
          </w:p>
          <w:p w14:paraId="55683382">
            <w:pPr>
              <w:jc w:val="center"/>
              <w:rPr>
                <w:color w:val="000000" w:themeColor="text1"/>
                <w:sz w:val="24"/>
                <w14:textFill>
                  <w14:solidFill>
                    <w14:schemeClr w14:val="tx1"/>
                  </w14:solidFill>
                </w14:textFill>
              </w:rPr>
            </w:pPr>
          </w:p>
          <w:p w14:paraId="198CF6E5">
            <w:pPr>
              <w:jc w:val="center"/>
              <w:rPr>
                <w:color w:val="000000" w:themeColor="text1"/>
                <w:sz w:val="24"/>
                <w14:textFill>
                  <w14:solidFill>
                    <w14:schemeClr w14:val="tx1"/>
                  </w14:solidFill>
                </w14:textFill>
              </w:rPr>
            </w:pPr>
          </w:p>
          <w:p w14:paraId="4FE85B8C">
            <w:pPr>
              <w:jc w:val="center"/>
              <w:rPr>
                <w:color w:val="000000" w:themeColor="text1"/>
                <w:sz w:val="24"/>
                <w14:textFill>
                  <w14:solidFill>
                    <w14:schemeClr w14:val="tx1"/>
                  </w14:solidFill>
                </w14:textFill>
              </w:rPr>
            </w:pPr>
          </w:p>
          <w:p w14:paraId="200CF815">
            <w:pPr>
              <w:jc w:val="center"/>
              <w:rPr>
                <w:color w:val="000000" w:themeColor="text1"/>
                <w:sz w:val="24"/>
                <w14:textFill>
                  <w14:solidFill>
                    <w14:schemeClr w14:val="tx1"/>
                  </w14:solidFill>
                </w14:textFill>
              </w:rPr>
            </w:pPr>
          </w:p>
          <w:p w14:paraId="2C95F886">
            <w:pPr>
              <w:jc w:val="center"/>
              <w:rPr>
                <w:color w:val="000000" w:themeColor="text1"/>
                <w:sz w:val="24"/>
                <w14:textFill>
                  <w14:solidFill>
                    <w14:schemeClr w14:val="tx1"/>
                  </w14:solidFill>
                </w14:textFill>
              </w:rPr>
            </w:pPr>
          </w:p>
          <w:p w14:paraId="106BFDAE">
            <w:pPr>
              <w:jc w:val="center"/>
              <w:rPr>
                <w:color w:val="000000" w:themeColor="text1"/>
                <w:sz w:val="24"/>
                <w14:textFill>
                  <w14:solidFill>
                    <w14:schemeClr w14:val="tx1"/>
                  </w14:solidFill>
                </w14:textFill>
              </w:rPr>
            </w:pPr>
          </w:p>
          <w:p w14:paraId="3A6AD32D">
            <w:pPr>
              <w:jc w:val="center"/>
              <w:rPr>
                <w:color w:val="000000" w:themeColor="text1"/>
                <w:sz w:val="24"/>
                <w14:textFill>
                  <w14:solidFill>
                    <w14:schemeClr w14:val="tx1"/>
                  </w14:solidFill>
                </w14:textFill>
              </w:rPr>
            </w:pPr>
          </w:p>
          <w:p w14:paraId="2F342902">
            <w:pPr>
              <w:jc w:val="center"/>
              <w:rPr>
                <w:color w:val="000000" w:themeColor="text1"/>
                <w:sz w:val="24"/>
                <w14:textFill>
                  <w14:solidFill>
                    <w14:schemeClr w14:val="tx1"/>
                  </w14:solidFill>
                </w14:textFill>
              </w:rPr>
            </w:pPr>
          </w:p>
          <w:p w14:paraId="7F160C63">
            <w:pPr>
              <w:jc w:val="center"/>
              <w:rPr>
                <w:color w:val="000000" w:themeColor="text1"/>
                <w:sz w:val="24"/>
                <w14:textFill>
                  <w14:solidFill>
                    <w14:schemeClr w14:val="tx1"/>
                  </w14:solidFill>
                </w14:textFill>
              </w:rPr>
            </w:pPr>
          </w:p>
          <w:p w14:paraId="0BE629EE">
            <w:pPr>
              <w:jc w:val="center"/>
              <w:rPr>
                <w:color w:val="000000" w:themeColor="text1"/>
                <w:sz w:val="24"/>
                <w14:textFill>
                  <w14:solidFill>
                    <w14:schemeClr w14:val="tx1"/>
                  </w14:solidFill>
                </w14:textFill>
              </w:rPr>
            </w:pPr>
          </w:p>
          <w:p w14:paraId="17E33B99">
            <w:pPr>
              <w:jc w:val="center"/>
              <w:rPr>
                <w:color w:val="000000" w:themeColor="text1"/>
                <w:sz w:val="24"/>
                <w14:textFill>
                  <w14:solidFill>
                    <w14:schemeClr w14:val="tx1"/>
                  </w14:solidFill>
                </w14:textFill>
              </w:rPr>
            </w:pPr>
          </w:p>
          <w:p w14:paraId="03720F8A">
            <w:pPr>
              <w:jc w:val="center"/>
              <w:rPr>
                <w:color w:val="000000" w:themeColor="text1"/>
                <w:sz w:val="24"/>
                <w14:textFill>
                  <w14:solidFill>
                    <w14:schemeClr w14:val="tx1"/>
                  </w14:solidFill>
                </w14:textFill>
              </w:rPr>
            </w:pPr>
          </w:p>
          <w:p w14:paraId="49CAC207">
            <w:pPr>
              <w:jc w:val="center"/>
              <w:rPr>
                <w:color w:val="000000" w:themeColor="text1"/>
                <w:sz w:val="24"/>
                <w14:textFill>
                  <w14:solidFill>
                    <w14:schemeClr w14:val="tx1"/>
                  </w14:solidFill>
                </w14:textFill>
              </w:rPr>
            </w:pPr>
          </w:p>
          <w:p w14:paraId="0282566C">
            <w:pPr>
              <w:jc w:val="center"/>
              <w:rPr>
                <w:color w:val="000000" w:themeColor="text1"/>
                <w:sz w:val="24"/>
                <w14:textFill>
                  <w14:solidFill>
                    <w14:schemeClr w14:val="tx1"/>
                  </w14:solidFill>
                </w14:textFill>
              </w:rPr>
            </w:pPr>
            <w:r>
              <w:rPr>
                <w:rFonts w:hint="eastAsia"/>
                <w:color w:val="000000" w:themeColor="text1"/>
                <w:szCs w:val="21"/>
                <w14:textFill>
                  <w14:solidFill>
                    <w14:schemeClr w14:val="tx1"/>
                  </w14:solidFill>
                </w14:textFill>
              </w:rPr>
              <w:t>第</w:t>
            </w:r>
            <w:r>
              <w:rPr>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页 共</w:t>
            </w:r>
            <w:r>
              <w:rPr>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页</w:t>
            </w:r>
          </w:p>
        </w:tc>
      </w:tr>
    </w:tbl>
    <w:p w14:paraId="17E3905E">
      <w:pPr>
        <w:rPr>
          <w:sz w:val="24"/>
        </w:rPr>
      </w:pPr>
    </w:p>
    <w:p w14:paraId="1026198D">
      <w:pPr>
        <w:rPr>
          <w:sz w:val="24"/>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31D59">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51191">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EBE37">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1256A">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D8A00">
    <w:pPr>
      <w:pStyle w:val="12"/>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D7E479">
                          <w:pPr>
                            <w:pStyle w:val="12"/>
                            <w:rPr>
                              <w:rStyle w:val="22"/>
                            </w:rPr>
                          </w:pPr>
                          <w:r>
                            <w:fldChar w:fldCharType="begin"/>
                          </w:r>
                          <w:r>
                            <w:rPr>
                              <w:rStyle w:val="22"/>
                            </w:rPr>
                            <w:instrText xml:space="preserve">PAGE  </w:instrText>
                          </w:r>
                          <w:r>
                            <w:fldChar w:fldCharType="separate"/>
                          </w:r>
                          <w:r>
                            <w:rPr>
                              <w:rStyle w:val="22"/>
                            </w:rP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5"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MOuXYzAgAAZQQAAA4AAAAAAAAAAQAgAAAAHwEAAGRycy9lMm9Eb2MueG1sUEsF&#10;BgAAAAAGAAYAWQEAAMQFAAAAAA==&#10;">
              <v:fill on="f" focussize="0,0"/>
              <v:stroke on="f" weight="0.5pt"/>
              <v:imagedata o:title=""/>
              <o:lock v:ext="edit" aspectratio="f"/>
              <v:textbox inset="0mm,0mm,0mm,0mm" style="mso-fit-shape-to-text:t;">
                <w:txbxContent>
                  <w:p w14:paraId="4CD7E479">
                    <w:pPr>
                      <w:pStyle w:val="12"/>
                      <w:rPr>
                        <w:rStyle w:val="22"/>
                      </w:rPr>
                    </w:pPr>
                    <w:r>
                      <w:fldChar w:fldCharType="begin"/>
                    </w:r>
                    <w:r>
                      <w:rPr>
                        <w:rStyle w:val="22"/>
                      </w:rPr>
                      <w:instrText xml:space="preserve">PAGE  </w:instrText>
                    </w:r>
                    <w:r>
                      <w:fldChar w:fldCharType="separate"/>
                    </w:r>
                    <w:r>
                      <w:rPr>
                        <w:rStyle w:val="22"/>
                      </w:rPr>
                      <w:t>11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460D7">
    <w:pPr>
      <w:pStyle w:val="12"/>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8C0DB2">
                          <w:pPr>
                            <w:pStyle w:val="12"/>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hwURRNAIAAGUEAAAOAAAAAAAAAAEAIAAAAB8BAABkcnMvZTJvRG9jLnhtbFBL&#10;BQYAAAAABgAGAFkBAADFBQAAAAA=&#10;">
              <v:fill on="f" focussize="0,0"/>
              <v:stroke on="f" weight="0.5pt"/>
              <v:imagedata o:title=""/>
              <o:lock v:ext="edit" aspectratio="f"/>
              <v:textbox inset="0mm,0mm,0mm,0mm" style="mso-fit-shape-to-text:t;">
                <w:txbxContent>
                  <w:p w14:paraId="408C0DB2">
                    <w:pPr>
                      <w:pStyle w:val="12"/>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E8E63">
    <w:pPr>
      <w:pStyle w:val="12"/>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8E56F5">
                          <w:pPr>
                            <w:pStyle w:val="12"/>
                            <w:rPr>
                              <w:rStyle w:val="22"/>
                            </w:rPr>
                          </w:pPr>
                          <w:r>
                            <w:fldChar w:fldCharType="begin"/>
                          </w:r>
                          <w:r>
                            <w:rPr>
                              <w:rStyle w:val="22"/>
                            </w:rPr>
                            <w:instrText xml:space="preserve">PAGE  </w:instrText>
                          </w:r>
                          <w:r>
                            <w:fldChar w:fldCharType="separate"/>
                          </w:r>
                          <w:r>
                            <w:rPr>
                              <w:rStyle w:val="22"/>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MAFQ0AgAAZQQAAA4AAABkcnMvZTJvRG9jLnhtbK1UzY7TMBC+I/EO&#10;lu80aVcs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zjABUNAIAAGUEAAAOAAAAAAAAAAEAIAAAAB8BAABkcnMvZTJvRG9jLnhtbFBL&#10;BQYAAAAABgAGAFkBAADFBQAAAAA=&#10;">
              <v:fill on="f" focussize="0,0"/>
              <v:stroke on="f" weight="0.5pt"/>
              <v:imagedata o:title=""/>
              <o:lock v:ext="edit" aspectratio="f"/>
              <v:textbox inset="0mm,0mm,0mm,0mm" style="mso-fit-shape-to-text:t;">
                <w:txbxContent>
                  <w:p w14:paraId="508E56F5">
                    <w:pPr>
                      <w:pStyle w:val="12"/>
                      <w:rPr>
                        <w:rStyle w:val="22"/>
                      </w:rPr>
                    </w:pPr>
                    <w:r>
                      <w:fldChar w:fldCharType="begin"/>
                    </w:r>
                    <w:r>
                      <w:rPr>
                        <w:rStyle w:val="22"/>
                      </w:rPr>
                      <w:instrText xml:space="preserve">PAGE  </w:instrText>
                    </w:r>
                    <w:r>
                      <w:fldChar w:fldCharType="separate"/>
                    </w:r>
                    <w:r>
                      <w:rPr>
                        <w:rStyle w:val="22"/>
                      </w:rP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3F70A">
    <w:pPr>
      <w:pStyle w:val="12"/>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1AFAAE">
                          <w:pPr>
                            <w:pStyle w:val="12"/>
                            <w:rPr>
                              <w:rStyle w:val="22"/>
                            </w:rPr>
                          </w:pPr>
                          <w:r>
                            <w:fldChar w:fldCharType="begin"/>
                          </w:r>
                          <w:r>
                            <w:rPr>
                              <w:rStyle w:val="22"/>
                            </w:rPr>
                            <w:instrText xml:space="preserve">PAGE  </w:instrText>
                          </w:r>
                          <w:r>
                            <w:fldChar w:fldCharType="separate"/>
                          </w:r>
                          <w:r>
                            <w:rPr>
                              <w:rStyle w:val="22"/>
                            </w:rP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4"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GD+hEzAgAAZQ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GD+hEzAgAAZQQAAA4AAAAAAAAAAQAgAAAAHwEAAGRycy9lMm9Eb2MueG1sUEsF&#10;BgAAAAAGAAYAWQEAAMQFAAAAAA==&#10;">
              <v:fill on="f" focussize="0,0"/>
              <v:stroke on="f" weight="0.5pt"/>
              <v:imagedata o:title=""/>
              <o:lock v:ext="edit" aspectratio="f"/>
              <v:textbox inset="0mm,0mm,0mm,0mm" style="mso-fit-shape-to-text:t;">
                <w:txbxContent>
                  <w:p w14:paraId="391AFAAE">
                    <w:pPr>
                      <w:pStyle w:val="12"/>
                      <w:rPr>
                        <w:rStyle w:val="22"/>
                      </w:rPr>
                    </w:pPr>
                    <w:r>
                      <w:fldChar w:fldCharType="begin"/>
                    </w:r>
                    <w:r>
                      <w:rPr>
                        <w:rStyle w:val="22"/>
                      </w:rPr>
                      <w:instrText xml:space="preserve">PAGE  </w:instrText>
                    </w:r>
                    <w:r>
                      <w:fldChar w:fldCharType="separate"/>
                    </w:r>
                    <w:r>
                      <w:rPr>
                        <w:rStyle w:val="22"/>
                      </w:rPr>
                      <w:t>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7D52D">
    <w:pPr>
      <w:pStyle w:val="13"/>
      <w:rPr>
        <w:rFonts w:ascii="黑体" w:eastAsia="黑体"/>
        <w:sz w:val="21"/>
        <w:szCs w:val="21"/>
      </w:rPr>
    </w:pPr>
    <w:r>
      <w:rPr>
        <w:rFonts w:hint="eastAsia" w:ascii="黑体" w:eastAsia="黑体"/>
        <w:sz w:val="21"/>
        <w:szCs w:val="21"/>
      </w:rPr>
      <w:t>JJF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4070">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74B4F">
    <w:pPr>
      <w:pStyle w:val="13"/>
      <w:pBdr>
        <w:bottom w:val="single" w:color="auto" w:sz="4" w:space="1"/>
      </w:pBdr>
    </w:pPr>
    <w:r>
      <w:rPr>
        <w:rFonts w:hint="eastAsia" w:ascii="黑体" w:eastAsia="黑体"/>
        <w:sz w:val="21"/>
        <w:szCs w:val="21"/>
      </w:rPr>
      <w:t>JJF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6C6596"/>
    <w:multiLevelType w:val="multilevel"/>
    <w:tmpl w:val="2C6C659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37A1878"/>
    <w:multiLevelType w:val="multilevel"/>
    <w:tmpl w:val="337A1878"/>
    <w:lvl w:ilvl="0" w:tentative="0">
      <w:start w:val="1"/>
      <w:numFmt w:val="decimal"/>
      <w:lvlText w:val="%1."/>
      <w:lvlJc w:val="left"/>
      <w:pPr>
        <w:tabs>
          <w:tab w:val="left" w:pos="720"/>
        </w:tabs>
        <w:ind w:left="720" w:hanging="720"/>
      </w:pPr>
    </w:lvl>
    <w:lvl w:ilvl="1" w:tentative="0">
      <w:start w:val="1"/>
      <w:numFmt w:val="decimal"/>
      <w:pStyle w:val="40"/>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39"/>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4B6B00E0"/>
    <w:multiLevelType w:val="multilevel"/>
    <w:tmpl w:val="4B6B00E0"/>
    <w:lvl w:ilvl="0" w:tentative="0">
      <w:start w:val="1"/>
      <w:numFmt w:val="lowerLetter"/>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suff w:val="nothing"/>
      <w:lvlText w:val="表%1.%2　"/>
      <w:lvlJc w:val="left"/>
      <w:pPr>
        <w:ind w:left="3828" w:hanging="567"/>
      </w:pPr>
      <w:rPr>
        <w:rFonts w:hint="eastAsia"/>
      </w:rPr>
    </w:lvl>
    <w:lvl w:ilvl="2" w:tentative="0">
      <w:start w:val="1"/>
      <w:numFmt w:val="decimal"/>
      <w:pStyle w:val="45"/>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zRkNGIzZTI3NjY2ODY1OTljZGZkMzViNGQ1MjUifQ=="/>
  </w:docVars>
  <w:rsids>
    <w:rsidRoot w:val="00172A27"/>
    <w:rsid w:val="00000262"/>
    <w:rsid w:val="0000049C"/>
    <w:rsid w:val="00005C80"/>
    <w:rsid w:val="000224BE"/>
    <w:rsid w:val="0002543A"/>
    <w:rsid w:val="000300B1"/>
    <w:rsid w:val="000305F7"/>
    <w:rsid w:val="00030F8C"/>
    <w:rsid w:val="00035CC7"/>
    <w:rsid w:val="00040FB0"/>
    <w:rsid w:val="00044713"/>
    <w:rsid w:val="00046A1B"/>
    <w:rsid w:val="00050802"/>
    <w:rsid w:val="000716EE"/>
    <w:rsid w:val="00071E52"/>
    <w:rsid w:val="00082C9F"/>
    <w:rsid w:val="00090490"/>
    <w:rsid w:val="00090E14"/>
    <w:rsid w:val="00092C50"/>
    <w:rsid w:val="000A7069"/>
    <w:rsid w:val="000B19BF"/>
    <w:rsid w:val="000B4D61"/>
    <w:rsid w:val="000B6210"/>
    <w:rsid w:val="000C01BE"/>
    <w:rsid w:val="000C09D0"/>
    <w:rsid w:val="000C0DA3"/>
    <w:rsid w:val="000D1836"/>
    <w:rsid w:val="000D72A9"/>
    <w:rsid w:val="000E4BCC"/>
    <w:rsid w:val="000E772E"/>
    <w:rsid w:val="000F1B8B"/>
    <w:rsid w:val="000F31EB"/>
    <w:rsid w:val="001039EC"/>
    <w:rsid w:val="00115E1F"/>
    <w:rsid w:val="00123514"/>
    <w:rsid w:val="00123ADD"/>
    <w:rsid w:val="00127811"/>
    <w:rsid w:val="00133832"/>
    <w:rsid w:val="00152788"/>
    <w:rsid w:val="00164141"/>
    <w:rsid w:val="001672B6"/>
    <w:rsid w:val="00172A27"/>
    <w:rsid w:val="00184D59"/>
    <w:rsid w:val="001925C5"/>
    <w:rsid w:val="00193D2E"/>
    <w:rsid w:val="00196197"/>
    <w:rsid w:val="00196D65"/>
    <w:rsid w:val="001B32D5"/>
    <w:rsid w:val="001B5F2A"/>
    <w:rsid w:val="001B6ED6"/>
    <w:rsid w:val="001C09B2"/>
    <w:rsid w:val="001C3289"/>
    <w:rsid w:val="001C663A"/>
    <w:rsid w:val="001D2891"/>
    <w:rsid w:val="001D5C04"/>
    <w:rsid w:val="001D7EF7"/>
    <w:rsid w:val="001E2177"/>
    <w:rsid w:val="001E58F1"/>
    <w:rsid w:val="001E6944"/>
    <w:rsid w:val="001E712F"/>
    <w:rsid w:val="001F0D52"/>
    <w:rsid w:val="001F19EF"/>
    <w:rsid w:val="002054E6"/>
    <w:rsid w:val="00205D0E"/>
    <w:rsid w:val="0020679E"/>
    <w:rsid w:val="00213EF9"/>
    <w:rsid w:val="002162C3"/>
    <w:rsid w:val="0022225E"/>
    <w:rsid w:val="00222612"/>
    <w:rsid w:val="00224B5C"/>
    <w:rsid w:val="00241036"/>
    <w:rsid w:val="00243450"/>
    <w:rsid w:val="00245676"/>
    <w:rsid w:val="0025323A"/>
    <w:rsid w:val="00253CC5"/>
    <w:rsid w:val="002555E6"/>
    <w:rsid w:val="002606CC"/>
    <w:rsid w:val="00260FFC"/>
    <w:rsid w:val="002656A5"/>
    <w:rsid w:val="002661BB"/>
    <w:rsid w:val="002715F4"/>
    <w:rsid w:val="00272AAC"/>
    <w:rsid w:val="00282B27"/>
    <w:rsid w:val="00285593"/>
    <w:rsid w:val="002911C2"/>
    <w:rsid w:val="00292033"/>
    <w:rsid w:val="00293B33"/>
    <w:rsid w:val="0029465A"/>
    <w:rsid w:val="002A5F4F"/>
    <w:rsid w:val="002A619F"/>
    <w:rsid w:val="002A7A96"/>
    <w:rsid w:val="002B0E4F"/>
    <w:rsid w:val="002B5833"/>
    <w:rsid w:val="002B5DDB"/>
    <w:rsid w:val="002C3C92"/>
    <w:rsid w:val="002C55EC"/>
    <w:rsid w:val="002C5998"/>
    <w:rsid w:val="002C5BE2"/>
    <w:rsid w:val="002D4690"/>
    <w:rsid w:val="002D52C2"/>
    <w:rsid w:val="002D5A8B"/>
    <w:rsid w:val="002E4805"/>
    <w:rsid w:val="002E5ECE"/>
    <w:rsid w:val="002F0088"/>
    <w:rsid w:val="002F3ACE"/>
    <w:rsid w:val="002F49E0"/>
    <w:rsid w:val="002F6841"/>
    <w:rsid w:val="00300126"/>
    <w:rsid w:val="00301DB2"/>
    <w:rsid w:val="003125C1"/>
    <w:rsid w:val="00313193"/>
    <w:rsid w:val="003136BF"/>
    <w:rsid w:val="0031390B"/>
    <w:rsid w:val="003312C2"/>
    <w:rsid w:val="00334D22"/>
    <w:rsid w:val="00336605"/>
    <w:rsid w:val="003479A1"/>
    <w:rsid w:val="003537F0"/>
    <w:rsid w:val="0035588E"/>
    <w:rsid w:val="00357A7E"/>
    <w:rsid w:val="00357D46"/>
    <w:rsid w:val="00357DA6"/>
    <w:rsid w:val="003618FE"/>
    <w:rsid w:val="003671F4"/>
    <w:rsid w:val="003713E4"/>
    <w:rsid w:val="00391EEA"/>
    <w:rsid w:val="00393CE0"/>
    <w:rsid w:val="003A68D1"/>
    <w:rsid w:val="003B1EB9"/>
    <w:rsid w:val="003B29DB"/>
    <w:rsid w:val="003B4BA4"/>
    <w:rsid w:val="003B6D95"/>
    <w:rsid w:val="003C1CFB"/>
    <w:rsid w:val="003D23DD"/>
    <w:rsid w:val="003D5633"/>
    <w:rsid w:val="003D5B15"/>
    <w:rsid w:val="003D7642"/>
    <w:rsid w:val="003E170E"/>
    <w:rsid w:val="003E3DE5"/>
    <w:rsid w:val="003E543F"/>
    <w:rsid w:val="003F0A98"/>
    <w:rsid w:val="003F2C1B"/>
    <w:rsid w:val="003F45CC"/>
    <w:rsid w:val="00404A02"/>
    <w:rsid w:val="00406C43"/>
    <w:rsid w:val="00407E15"/>
    <w:rsid w:val="00415F6E"/>
    <w:rsid w:val="004168CB"/>
    <w:rsid w:val="004221D2"/>
    <w:rsid w:val="00437BF2"/>
    <w:rsid w:val="00441D0E"/>
    <w:rsid w:val="00446FBB"/>
    <w:rsid w:val="00447892"/>
    <w:rsid w:val="0045041E"/>
    <w:rsid w:val="004559BD"/>
    <w:rsid w:val="00457A31"/>
    <w:rsid w:val="00461EDA"/>
    <w:rsid w:val="00465C5D"/>
    <w:rsid w:val="00467693"/>
    <w:rsid w:val="0047035F"/>
    <w:rsid w:val="00470BC8"/>
    <w:rsid w:val="00472214"/>
    <w:rsid w:val="00473623"/>
    <w:rsid w:val="004865A1"/>
    <w:rsid w:val="0049387B"/>
    <w:rsid w:val="004A5C21"/>
    <w:rsid w:val="004A7C8E"/>
    <w:rsid w:val="004B20A1"/>
    <w:rsid w:val="004B2B8C"/>
    <w:rsid w:val="004C0F94"/>
    <w:rsid w:val="004C3D94"/>
    <w:rsid w:val="004C45E9"/>
    <w:rsid w:val="004E20E0"/>
    <w:rsid w:val="004E272E"/>
    <w:rsid w:val="004E5A05"/>
    <w:rsid w:val="004F2B78"/>
    <w:rsid w:val="004F3E93"/>
    <w:rsid w:val="004F707C"/>
    <w:rsid w:val="004F7E94"/>
    <w:rsid w:val="0052390A"/>
    <w:rsid w:val="00524E61"/>
    <w:rsid w:val="005425ED"/>
    <w:rsid w:val="00544401"/>
    <w:rsid w:val="00546E1C"/>
    <w:rsid w:val="005566E8"/>
    <w:rsid w:val="00566FF5"/>
    <w:rsid w:val="00574A43"/>
    <w:rsid w:val="00574E9B"/>
    <w:rsid w:val="00586638"/>
    <w:rsid w:val="00586FE7"/>
    <w:rsid w:val="00591996"/>
    <w:rsid w:val="005A59CA"/>
    <w:rsid w:val="005A6B86"/>
    <w:rsid w:val="005B0FDE"/>
    <w:rsid w:val="005B4E31"/>
    <w:rsid w:val="005B6888"/>
    <w:rsid w:val="005C1655"/>
    <w:rsid w:val="005C2F92"/>
    <w:rsid w:val="005D5969"/>
    <w:rsid w:val="005E04D4"/>
    <w:rsid w:val="005E53F9"/>
    <w:rsid w:val="005F707B"/>
    <w:rsid w:val="006016C0"/>
    <w:rsid w:val="00607357"/>
    <w:rsid w:val="00614376"/>
    <w:rsid w:val="006154B1"/>
    <w:rsid w:val="00620149"/>
    <w:rsid w:val="006233CA"/>
    <w:rsid w:val="006273B9"/>
    <w:rsid w:val="0062798A"/>
    <w:rsid w:val="00631D40"/>
    <w:rsid w:val="0063584B"/>
    <w:rsid w:val="0063780E"/>
    <w:rsid w:val="00641630"/>
    <w:rsid w:val="0065127C"/>
    <w:rsid w:val="00653354"/>
    <w:rsid w:val="00657456"/>
    <w:rsid w:val="006577C3"/>
    <w:rsid w:val="006631A0"/>
    <w:rsid w:val="006735E2"/>
    <w:rsid w:val="006936DD"/>
    <w:rsid w:val="006A7086"/>
    <w:rsid w:val="006C3651"/>
    <w:rsid w:val="006C3DD4"/>
    <w:rsid w:val="006D0231"/>
    <w:rsid w:val="006D18B6"/>
    <w:rsid w:val="006E64BA"/>
    <w:rsid w:val="006F0E52"/>
    <w:rsid w:val="006F2E42"/>
    <w:rsid w:val="006F3D0C"/>
    <w:rsid w:val="006F4E83"/>
    <w:rsid w:val="006F5A8B"/>
    <w:rsid w:val="00702BE0"/>
    <w:rsid w:val="00702D93"/>
    <w:rsid w:val="0071125D"/>
    <w:rsid w:val="007150BC"/>
    <w:rsid w:val="00717DAE"/>
    <w:rsid w:val="00723C33"/>
    <w:rsid w:val="0072727A"/>
    <w:rsid w:val="0074183D"/>
    <w:rsid w:val="00743AD2"/>
    <w:rsid w:val="0074693C"/>
    <w:rsid w:val="00751890"/>
    <w:rsid w:val="00755808"/>
    <w:rsid w:val="00760B10"/>
    <w:rsid w:val="007640A1"/>
    <w:rsid w:val="00765614"/>
    <w:rsid w:val="007656C7"/>
    <w:rsid w:val="007712E3"/>
    <w:rsid w:val="007744C3"/>
    <w:rsid w:val="00774F18"/>
    <w:rsid w:val="0077582D"/>
    <w:rsid w:val="0078216B"/>
    <w:rsid w:val="00782E02"/>
    <w:rsid w:val="00792036"/>
    <w:rsid w:val="0079692C"/>
    <w:rsid w:val="007B0010"/>
    <w:rsid w:val="007B1D1E"/>
    <w:rsid w:val="007B5E06"/>
    <w:rsid w:val="007C0641"/>
    <w:rsid w:val="007C2F89"/>
    <w:rsid w:val="007C5AB1"/>
    <w:rsid w:val="007C5CB0"/>
    <w:rsid w:val="007D0EA9"/>
    <w:rsid w:val="007E145D"/>
    <w:rsid w:val="007E1F89"/>
    <w:rsid w:val="007F0E41"/>
    <w:rsid w:val="007F2AF5"/>
    <w:rsid w:val="007F3FAA"/>
    <w:rsid w:val="007F6429"/>
    <w:rsid w:val="00803810"/>
    <w:rsid w:val="00805095"/>
    <w:rsid w:val="00812985"/>
    <w:rsid w:val="00813137"/>
    <w:rsid w:val="00814195"/>
    <w:rsid w:val="008174C5"/>
    <w:rsid w:val="008233E1"/>
    <w:rsid w:val="00823EBB"/>
    <w:rsid w:val="008252F6"/>
    <w:rsid w:val="00825D52"/>
    <w:rsid w:val="00827108"/>
    <w:rsid w:val="00834A04"/>
    <w:rsid w:val="00836E21"/>
    <w:rsid w:val="008474D2"/>
    <w:rsid w:val="0084798E"/>
    <w:rsid w:val="00847C8D"/>
    <w:rsid w:val="0085566E"/>
    <w:rsid w:val="00856F22"/>
    <w:rsid w:val="00860B86"/>
    <w:rsid w:val="008666E9"/>
    <w:rsid w:val="00871ABE"/>
    <w:rsid w:val="008726BB"/>
    <w:rsid w:val="00873BD8"/>
    <w:rsid w:val="008744EE"/>
    <w:rsid w:val="00875937"/>
    <w:rsid w:val="00881CDC"/>
    <w:rsid w:val="00881F40"/>
    <w:rsid w:val="0088461D"/>
    <w:rsid w:val="0089170A"/>
    <w:rsid w:val="008942F3"/>
    <w:rsid w:val="008A0C86"/>
    <w:rsid w:val="008A4C2B"/>
    <w:rsid w:val="008A62A1"/>
    <w:rsid w:val="008A715A"/>
    <w:rsid w:val="008B2CC5"/>
    <w:rsid w:val="008C4576"/>
    <w:rsid w:val="008C5F51"/>
    <w:rsid w:val="008D29E7"/>
    <w:rsid w:val="008D42EE"/>
    <w:rsid w:val="008E0E1C"/>
    <w:rsid w:val="008E2132"/>
    <w:rsid w:val="008E2739"/>
    <w:rsid w:val="008E561D"/>
    <w:rsid w:val="008E7315"/>
    <w:rsid w:val="008F0358"/>
    <w:rsid w:val="008F2E54"/>
    <w:rsid w:val="008F725F"/>
    <w:rsid w:val="0090116E"/>
    <w:rsid w:val="0090243E"/>
    <w:rsid w:val="00907554"/>
    <w:rsid w:val="0091584A"/>
    <w:rsid w:val="00937A6E"/>
    <w:rsid w:val="009405FF"/>
    <w:rsid w:val="00940933"/>
    <w:rsid w:val="0094452B"/>
    <w:rsid w:val="0094699B"/>
    <w:rsid w:val="00946DE8"/>
    <w:rsid w:val="00952C70"/>
    <w:rsid w:val="0095489A"/>
    <w:rsid w:val="0096313A"/>
    <w:rsid w:val="00964482"/>
    <w:rsid w:val="00964EFA"/>
    <w:rsid w:val="00976982"/>
    <w:rsid w:val="00977711"/>
    <w:rsid w:val="00982D3E"/>
    <w:rsid w:val="00983DEA"/>
    <w:rsid w:val="00986871"/>
    <w:rsid w:val="00986FDC"/>
    <w:rsid w:val="009879EC"/>
    <w:rsid w:val="00992B55"/>
    <w:rsid w:val="00992EA8"/>
    <w:rsid w:val="00994080"/>
    <w:rsid w:val="00994FCA"/>
    <w:rsid w:val="00996238"/>
    <w:rsid w:val="009C4CA2"/>
    <w:rsid w:val="009D148C"/>
    <w:rsid w:val="009D3CA1"/>
    <w:rsid w:val="009D4A21"/>
    <w:rsid w:val="009D76F1"/>
    <w:rsid w:val="009E4BEC"/>
    <w:rsid w:val="009E5DC6"/>
    <w:rsid w:val="009F3566"/>
    <w:rsid w:val="009F5CB3"/>
    <w:rsid w:val="009F79E4"/>
    <w:rsid w:val="00A011E2"/>
    <w:rsid w:val="00A02C21"/>
    <w:rsid w:val="00A068C9"/>
    <w:rsid w:val="00A10103"/>
    <w:rsid w:val="00A10195"/>
    <w:rsid w:val="00A132CA"/>
    <w:rsid w:val="00A234F0"/>
    <w:rsid w:val="00A25B7A"/>
    <w:rsid w:val="00A2691F"/>
    <w:rsid w:val="00A33B3B"/>
    <w:rsid w:val="00A35935"/>
    <w:rsid w:val="00A37B8A"/>
    <w:rsid w:val="00A41EDB"/>
    <w:rsid w:val="00A440AF"/>
    <w:rsid w:val="00A45783"/>
    <w:rsid w:val="00A503F0"/>
    <w:rsid w:val="00A5245F"/>
    <w:rsid w:val="00A549D8"/>
    <w:rsid w:val="00A57BAA"/>
    <w:rsid w:val="00A6183D"/>
    <w:rsid w:val="00A643F0"/>
    <w:rsid w:val="00A70389"/>
    <w:rsid w:val="00A8260A"/>
    <w:rsid w:val="00A9162F"/>
    <w:rsid w:val="00A91F40"/>
    <w:rsid w:val="00A9328D"/>
    <w:rsid w:val="00A940D2"/>
    <w:rsid w:val="00A95667"/>
    <w:rsid w:val="00AA27FE"/>
    <w:rsid w:val="00AA4F39"/>
    <w:rsid w:val="00AA76FF"/>
    <w:rsid w:val="00AB0213"/>
    <w:rsid w:val="00AB25E0"/>
    <w:rsid w:val="00AB2F95"/>
    <w:rsid w:val="00AC7B7A"/>
    <w:rsid w:val="00AD6A79"/>
    <w:rsid w:val="00AE11A6"/>
    <w:rsid w:val="00AF342D"/>
    <w:rsid w:val="00AF78A9"/>
    <w:rsid w:val="00B058E7"/>
    <w:rsid w:val="00B05D0F"/>
    <w:rsid w:val="00B074DF"/>
    <w:rsid w:val="00B1774F"/>
    <w:rsid w:val="00B206F6"/>
    <w:rsid w:val="00B21107"/>
    <w:rsid w:val="00B21669"/>
    <w:rsid w:val="00B27039"/>
    <w:rsid w:val="00B41E74"/>
    <w:rsid w:val="00B43EDF"/>
    <w:rsid w:val="00B441B7"/>
    <w:rsid w:val="00B460C1"/>
    <w:rsid w:val="00B50A96"/>
    <w:rsid w:val="00B53821"/>
    <w:rsid w:val="00B60DF5"/>
    <w:rsid w:val="00B60EC5"/>
    <w:rsid w:val="00B65946"/>
    <w:rsid w:val="00B7049B"/>
    <w:rsid w:val="00B727B5"/>
    <w:rsid w:val="00B73FBB"/>
    <w:rsid w:val="00B744F8"/>
    <w:rsid w:val="00B841FC"/>
    <w:rsid w:val="00B9226D"/>
    <w:rsid w:val="00B93859"/>
    <w:rsid w:val="00BA0A77"/>
    <w:rsid w:val="00BA35B2"/>
    <w:rsid w:val="00BA62E1"/>
    <w:rsid w:val="00BB74AA"/>
    <w:rsid w:val="00BC58EB"/>
    <w:rsid w:val="00BD68F2"/>
    <w:rsid w:val="00BE0C91"/>
    <w:rsid w:val="00BE1469"/>
    <w:rsid w:val="00BE1FF7"/>
    <w:rsid w:val="00BE4495"/>
    <w:rsid w:val="00BF3A79"/>
    <w:rsid w:val="00C02DF2"/>
    <w:rsid w:val="00C043E8"/>
    <w:rsid w:val="00C071B7"/>
    <w:rsid w:val="00C1029A"/>
    <w:rsid w:val="00C1284C"/>
    <w:rsid w:val="00C1315D"/>
    <w:rsid w:val="00C14FA3"/>
    <w:rsid w:val="00C159A1"/>
    <w:rsid w:val="00C15CC4"/>
    <w:rsid w:val="00C2006D"/>
    <w:rsid w:val="00C2315D"/>
    <w:rsid w:val="00C2400A"/>
    <w:rsid w:val="00C246CB"/>
    <w:rsid w:val="00C51EEB"/>
    <w:rsid w:val="00C53B08"/>
    <w:rsid w:val="00C617D8"/>
    <w:rsid w:val="00C61BD7"/>
    <w:rsid w:val="00C62118"/>
    <w:rsid w:val="00C66496"/>
    <w:rsid w:val="00C667E1"/>
    <w:rsid w:val="00C73659"/>
    <w:rsid w:val="00C74D30"/>
    <w:rsid w:val="00C759C7"/>
    <w:rsid w:val="00C7665C"/>
    <w:rsid w:val="00C87E45"/>
    <w:rsid w:val="00C931EE"/>
    <w:rsid w:val="00CA01B1"/>
    <w:rsid w:val="00CA2518"/>
    <w:rsid w:val="00CC1757"/>
    <w:rsid w:val="00CC2495"/>
    <w:rsid w:val="00CD389E"/>
    <w:rsid w:val="00CE0A57"/>
    <w:rsid w:val="00CE6F00"/>
    <w:rsid w:val="00CF00BA"/>
    <w:rsid w:val="00CF52AF"/>
    <w:rsid w:val="00CF5B77"/>
    <w:rsid w:val="00D0142D"/>
    <w:rsid w:val="00D03E06"/>
    <w:rsid w:val="00D04370"/>
    <w:rsid w:val="00D043C4"/>
    <w:rsid w:val="00D11EA7"/>
    <w:rsid w:val="00D134BD"/>
    <w:rsid w:val="00D20130"/>
    <w:rsid w:val="00D217ED"/>
    <w:rsid w:val="00D25576"/>
    <w:rsid w:val="00D2731E"/>
    <w:rsid w:val="00D27734"/>
    <w:rsid w:val="00D34517"/>
    <w:rsid w:val="00D36B0D"/>
    <w:rsid w:val="00D4658A"/>
    <w:rsid w:val="00D54A09"/>
    <w:rsid w:val="00D600B9"/>
    <w:rsid w:val="00D67757"/>
    <w:rsid w:val="00D74995"/>
    <w:rsid w:val="00D7683F"/>
    <w:rsid w:val="00D81550"/>
    <w:rsid w:val="00D81F2F"/>
    <w:rsid w:val="00D84B8A"/>
    <w:rsid w:val="00D86B6B"/>
    <w:rsid w:val="00D901FE"/>
    <w:rsid w:val="00D978C0"/>
    <w:rsid w:val="00D97BB3"/>
    <w:rsid w:val="00DA4F51"/>
    <w:rsid w:val="00DB1538"/>
    <w:rsid w:val="00DB33BE"/>
    <w:rsid w:val="00DB625D"/>
    <w:rsid w:val="00DB680A"/>
    <w:rsid w:val="00DC3084"/>
    <w:rsid w:val="00DC3DF2"/>
    <w:rsid w:val="00DC62F3"/>
    <w:rsid w:val="00DD67C4"/>
    <w:rsid w:val="00DD7D94"/>
    <w:rsid w:val="00DE1C2F"/>
    <w:rsid w:val="00DE63DA"/>
    <w:rsid w:val="00DF01A9"/>
    <w:rsid w:val="00DF097C"/>
    <w:rsid w:val="00E03BFA"/>
    <w:rsid w:val="00E04D62"/>
    <w:rsid w:val="00E05C8D"/>
    <w:rsid w:val="00E22AAD"/>
    <w:rsid w:val="00E33219"/>
    <w:rsid w:val="00E36585"/>
    <w:rsid w:val="00E4275F"/>
    <w:rsid w:val="00E428E0"/>
    <w:rsid w:val="00E46C1A"/>
    <w:rsid w:val="00E46D3B"/>
    <w:rsid w:val="00E50BB5"/>
    <w:rsid w:val="00E539F4"/>
    <w:rsid w:val="00E53EE5"/>
    <w:rsid w:val="00E60EB2"/>
    <w:rsid w:val="00E75855"/>
    <w:rsid w:val="00E76D0B"/>
    <w:rsid w:val="00E824C8"/>
    <w:rsid w:val="00EA6C66"/>
    <w:rsid w:val="00EB0723"/>
    <w:rsid w:val="00EB3E70"/>
    <w:rsid w:val="00EB6A14"/>
    <w:rsid w:val="00EC0A34"/>
    <w:rsid w:val="00EC2A07"/>
    <w:rsid w:val="00EC2CF7"/>
    <w:rsid w:val="00EC486A"/>
    <w:rsid w:val="00ED1086"/>
    <w:rsid w:val="00ED19AF"/>
    <w:rsid w:val="00ED603A"/>
    <w:rsid w:val="00EE2365"/>
    <w:rsid w:val="00EF0E24"/>
    <w:rsid w:val="00EF55E8"/>
    <w:rsid w:val="00F05C34"/>
    <w:rsid w:val="00F060DC"/>
    <w:rsid w:val="00F13A5A"/>
    <w:rsid w:val="00F13E20"/>
    <w:rsid w:val="00F15567"/>
    <w:rsid w:val="00F30796"/>
    <w:rsid w:val="00F40FEB"/>
    <w:rsid w:val="00F4600D"/>
    <w:rsid w:val="00F524F8"/>
    <w:rsid w:val="00F53073"/>
    <w:rsid w:val="00F5393B"/>
    <w:rsid w:val="00F54892"/>
    <w:rsid w:val="00F63108"/>
    <w:rsid w:val="00F64741"/>
    <w:rsid w:val="00F80BFA"/>
    <w:rsid w:val="00F94CEF"/>
    <w:rsid w:val="00F952A3"/>
    <w:rsid w:val="00F95FDC"/>
    <w:rsid w:val="00FA18E2"/>
    <w:rsid w:val="00FA29A1"/>
    <w:rsid w:val="00FB037D"/>
    <w:rsid w:val="00FB1806"/>
    <w:rsid w:val="00FB26C3"/>
    <w:rsid w:val="00FC03E2"/>
    <w:rsid w:val="00FC21B8"/>
    <w:rsid w:val="00FC5481"/>
    <w:rsid w:val="00FC65BD"/>
    <w:rsid w:val="00FC6D91"/>
    <w:rsid w:val="00FC6ECD"/>
    <w:rsid w:val="00FD1820"/>
    <w:rsid w:val="00FD29F5"/>
    <w:rsid w:val="00FD2B9A"/>
    <w:rsid w:val="00FE2A2D"/>
    <w:rsid w:val="00FE66FA"/>
    <w:rsid w:val="00FF1320"/>
    <w:rsid w:val="00FF6C0D"/>
    <w:rsid w:val="01180EA8"/>
    <w:rsid w:val="0153177E"/>
    <w:rsid w:val="015431D8"/>
    <w:rsid w:val="01592D9C"/>
    <w:rsid w:val="016A75BB"/>
    <w:rsid w:val="0187729B"/>
    <w:rsid w:val="01C87910"/>
    <w:rsid w:val="01C97AA2"/>
    <w:rsid w:val="01CF7EB4"/>
    <w:rsid w:val="01D120DA"/>
    <w:rsid w:val="02265D73"/>
    <w:rsid w:val="022A50D4"/>
    <w:rsid w:val="024B0C48"/>
    <w:rsid w:val="029C6644"/>
    <w:rsid w:val="02A92F5A"/>
    <w:rsid w:val="02D06BF4"/>
    <w:rsid w:val="02DA2319"/>
    <w:rsid w:val="02E90D97"/>
    <w:rsid w:val="03404321"/>
    <w:rsid w:val="034254DD"/>
    <w:rsid w:val="03456290"/>
    <w:rsid w:val="038509D2"/>
    <w:rsid w:val="03A54079"/>
    <w:rsid w:val="04151A02"/>
    <w:rsid w:val="043333A9"/>
    <w:rsid w:val="04F215AE"/>
    <w:rsid w:val="05211BD6"/>
    <w:rsid w:val="0531701F"/>
    <w:rsid w:val="05917C35"/>
    <w:rsid w:val="05962EBB"/>
    <w:rsid w:val="05AA6CAA"/>
    <w:rsid w:val="06356174"/>
    <w:rsid w:val="064245FD"/>
    <w:rsid w:val="066A3D9A"/>
    <w:rsid w:val="066A5219"/>
    <w:rsid w:val="06C501A8"/>
    <w:rsid w:val="06ED5DE5"/>
    <w:rsid w:val="06FB1642"/>
    <w:rsid w:val="073E7A60"/>
    <w:rsid w:val="076855AA"/>
    <w:rsid w:val="078F23F3"/>
    <w:rsid w:val="0799482C"/>
    <w:rsid w:val="07B84D65"/>
    <w:rsid w:val="07C6673D"/>
    <w:rsid w:val="07E514B6"/>
    <w:rsid w:val="07ED0962"/>
    <w:rsid w:val="07F23BD4"/>
    <w:rsid w:val="07F71E1B"/>
    <w:rsid w:val="07F97DE3"/>
    <w:rsid w:val="085F0D9D"/>
    <w:rsid w:val="088502CB"/>
    <w:rsid w:val="088C3D80"/>
    <w:rsid w:val="08D835BC"/>
    <w:rsid w:val="091949D7"/>
    <w:rsid w:val="09277CEE"/>
    <w:rsid w:val="09375414"/>
    <w:rsid w:val="093B01C2"/>
    <w:rsid w:val="09E84E47"/>
    <w:rsid w:val="0A2D36C0"/>
    <w:rsid w:val="0A3F0B20"/>
    <w:rsid w:val="0A8070D4"/>
    <w:rsid w:val="0AE82921"/>
    <w:rsid w:val="0AEC3308"/>
    <w:rsid w:val="0AFF4A25"/>
    <w:rsid w:val="0B120DDF"/>
    <w:rsid w:val="0B9D759F"/>
    <w:rsid w:val="0BB0771C"/>
    <w:rsid w:val="0BBE6D8D"/>
    <w:rsid w:val="0BC14AF3"/>
    <w:rsid w:val="0C160C51"/>
    <w:rsid w:val="0C34242E"/>
    <w:rsid w:val="0C5225E3"/>
    <w:rsid w:val="0C9A3E17"/>
    <w:rsid w:val="0CC46DE8"/>
    <w:rsid w:val="0D154390"/>
    <w:rsid w:val="0D343066"/>
    <w:rsid w:val="0D470454"/>
    <w:rsid w:val="0DBB1FE0"/>
    <w:rsid w:val="0DC9445D"/>
    <w:rsid w:val="0DD40530"/>
    <w:rsid w:val="0E2A4C4C"/>
    <w:rsid w:val="0E4436FA"/>
    <w:rsid w:val="0E550D2A"/>
    <w:rsid w:val="0E646C2D"/>
    <w:rsid w:val="0E6D434B"/>
    <w:rsid w:val="0E77333D"/>
    <w:rsid w:val="0EA2610E"/>
    <w:rsid w:val="0EAE02E7"/>
    <w:rsid w:val="0EB556DF"/>
    <w:rsid w:val="0F0F6DA3"/>
    <w:rsid w:val="0F2B0FC4"/>
    <w:rsid w:val="0F566F1C"/>
    <w:rsid w:val="0F5965E2"/>
    <w:rsid w:val="0F7B581B"/>
    <w:rsid w:val="0F874471"/>
    <w:rsid w:val="0F933053"/>
    <w:rsid w:val="10521F88"/>
    <w:rsid w:val="105264E1"/>
    <w:rsid w:val="10712B91"/>
    <w:rsid w:val="10A31DD0"/>
    <w:rsid w:val="10A41306"/>
    <w:rsid w:val="10B078D3"/>
    <w:rsid w:val="10C036B9"/>
    <w:rsid w:val="10F57079"/>
    <w:rsid w:val="11134CA9"/>
    <w:rsid w:val="114E123C"/>
    <w:rsid w:val="1162107E"/>
    <w:rsid w:val="118849A3"/>
    <w:rsid w:val="11ED53EC"/>
    <w:rsid w:val="12795F27"/>
    <w:rsid w:val="127F414F"/>
    <w:rsid w:val="1285735D"/>
    <w:rsid w:val="12D1193A"/>
    <w:rsid w:val="13400448"/>
    <w:rsid w:val="134B3BF3"/>
    <w:rsid w:val="13B63846"/>
    <w:rsid w:val="13C805C8"/>
    <w:rsid w:val="13D420E0"/>
    <w:rsid w:val="13F81D81"/>
    <w:rsid w:val="143F6C9B"/>
    <w:rsid w:val="14450B1E"/>
    <w:rsid w:val="14C94E01"/>
    <w:rsid w:val="14F86687"/>
    <w:rsid w:val="151D6F5E"/>
    <w:rsid w:val="152F3C19"/>
    <w:rsid w:val="15571996"/>
    <w:rsid w:val="156514A3"/>
    <w:rsid w:val="156E2739"/>
    <w:rsid w:val="156F5E56"/>
    <w:rsid w:val="159B4DCE"/>
    <w:rsid w:val="15CD3E4B"/>
    <w:rsid w:val="162F75B8"/>
    <w:rsid w:val="16327B94"/>
    <w:rsid w:val="164212E4"/>
    <w:rsid w:val="164C2A46"/>
    <w:rsid w:val="164C7A56"/>
    <w:rsid w:val="1660096D"/>
    <w:rsid w:val="16677FA7"/>
    <w:rsid w:val="1674027E"/>
    <w:rsid w:val="16B61F2A"/>
    <w:rsid w:val="16DB36DF"/>
    <w:rsid w:val="16E47EE5"/>
    <w:rsid w:val="16ED4ABC"/>
    <w:rsid w:val="17585A93"/>
    <w:rsid w:val="175B13B5"/>
    <w:rsid w:val="177436CA"/>
    <w:rsid w:val="179E3424"/>
    <w:rsid w:val="17A35875"/>
    <w:rsid w:val="17F975FB"/>
    <w:rsid w:val="181173D0"/>
    <w:rsid w:val="1887179E"/>
    <w:rsid w:val="18A309CA"/>
    <w:rsid w:val="18FD118F"/>
    <w:rsid w:val="190577DF"/>
    <w:rsid w:val="1908343B"/>
    <w:rsid w:val="190C4F90"/>
    <w:rsid w:val="190D2FC4"/>
    <w:rsid w:val="191D32DE"/>
    <w:rsid w:val="19523CA6"/>
    <w:rsid w:val="197E55F5"/>
    <w:rsid w:val="198E0EBF"/>
    <w:rsid w:val="1A351739"/>
    <w:rsid w:val="1A4F75EC"/>
    <w:rsid w:val="1A502E7B"/>
    <w:rsid w:val="1A536E33"/>
    <w:rsid w:val="1A6F10DD"/>
    <w:rsid w:val="1A8C73F3"/>
    <w:rsid w:val="1AB66404"/>
    <w:rsid w:val="1AB67D74"/>
    <w:rsid w:val="1AD863E6"/>
    <w:rsid w:val="1AF00A1E"/>
    <w:rsid w:val="1B084C42"/>
    <w:rsid w:val="1B0F20A8"/>
    <w:rsid w:val="1B1937F0"/>
    <w:rsid w:val="1B2727E6"/>
    <w:rsid w:val="1B5D72A9"/>
    <w:rsid w:val="1B622598"/>
    <w:rsid w:val="1B8C7341"/>
    <w:rsid w:val="1B9032C7"/>
    <w:rsid w:val="1BB920D8"/>
    <w:rsid w:val="1C20737B"/>
    <w:rsid w:val="1C2F4429"/>
    <w:rsid w:val="1C4A454C"/>
    <w:rsid w:val="1CAE6344"/>
    <w:rsid w:val="1CD85CAF"/>
    <w:rsid w:val="1D055C04"/>
    <w:rsid w:val="1D0A1B07"/>
    <w:rsid w:val="1D0E7B9A"/>
    <w:rsid w:val="1D1B0053"/>
    <w:rsid w:val="1D3D47FA"/>
    <w:rsid w:val="1D446753"/>
    <w:rsid w:val="1D593A1A"/>
    <w:rsid w:val="1D8434B4"/>
    <w:rsid w:val="1DB37DCE"/>
    <w:rsid w:val="1DDD3ACD"/>
    <w:rsid w:val="1E4156B6"/>
    <w:rsid w:val="1E4D776E"/>
    <w:rsid w:val="1E5A068A"/>
    <w:rsid w:val="1ED72302"/>
    <w:rsid w:val="1F164DEB"/>
    <w:rsid w:val="1F767AFA"/>
    <w:rsid w:val="1F7A47FB"/>
    <w:rsid w:val="1FD16767"/>
    <w:rsid w:val="1FDF265A"/>
    <w:rsid w:val="1FF35BE4"/>
    <w:rsid w:val="20165EEA"/>
    <w:rsid w:val="20510375"/>
    <w:rsid w:val="20A701E7"/>
    <w:rsid w:val="20B22068"/>
    <w:rsid w:val="20CC3A7D"/>
    <w:rsid w:val="20CE73F9"/>
    <w:rsid w:val="20E05A32"/>
    <w:rsid w:val="21075C5C"/>
    <w:rsid w:val="21134F01"/>
    <w:rsid w:val="21217942"/>
    <w:rsid w:val="213D1D7F"/>
    <w:rsid w:val="21467CC1"/>
    <w:rsid w:val="216E2D36"/>
    <w:rsid w:val="217C7A45"/>
    <w:rsid w:val="218A187E"/>
    <w:rsid w:val="2249400A"/>
    <w:rsid w:val="228E7669"/>
    <w:rsid w:val="22A255F2"/>
    <w:rsid w:val="22CF1572"/>
    <w:rsid w:val="22CF506E"/>
    <w:rsid w:val="22D1754B"/>
    <w:rsid w:val="22EB153B"/>
    <w:rsid w:val="23334E90"/>
    <w:rsid w:val="235413D1"/>
    <w:rsid w:val="23582B57"/>
    <w:rsid w:val="23626857"/>
    <w:rsid w:val="238C0D71"/>
    <w:rsid w:val="239B1963"/>
    <w:rsid w:val="23FE1A8C"/>
    <w:rsid w:val="240178E6"/>
    <w:rsid w:val="242A7A60"/>
    <w:rsid w:val="243C4C7B"/>
    <w:rsid w:val="24527E18"/>
    <w:rsid w:val="2473603C"/>
    <w:rsid w:val="24A747B8"/>
    <w:rsid w:val="24E21F17"/>
    <w:rsid w:val="250545C2"/>
    <w:rsid w:val="25442204"/>
    <w:rsid w:val="255175A5"/>
    <w:rsid w:val="258643B9"/>
    <w:rsid w:val="25E072EE"/>
    <w:rsid w:val="263B0924"/>
    <w:rsid w:val="26686774"/>
    <w:rsid w:val="26855095"/>
    <w:rsid w:val="2691700E"/>
    <w:rsid w:val="269B7B17"/>
    <w:rsid w:val="26A95133"/>
    <w:rsid w:val="26B84E40"/>
    <w:rsid w:val="26E46902"/>
    <w:rsid w:val="27033511"/>
    <w:rsid w:val="2708175F"/>
    <w:rsid w:val="27E43BCB"/>
    <w:rsid w:val="27EC315E"/>
    <w:rsid w:val="28047339"/>
    <w:rsid w:val="28482A59"/>
    <w:rsid w:val="286C12C9"/>
    <w:rsid w:val="286D64EF"/>
    <w:rsid w:val="287014F6"/>
    <w:rsid w:val="28A91F2B"/>
    <w:rsid w:val="28B0377B"/>
    <w:rsid w:val="28D60C02"/>
    <w:rsid w:val="29032D04"/>
    <w:rsid w:val="296709C7"/>
    <w:rsid w:val="29780F4B"/>
    <w:rsid w:val="298E7271"/>
    <w:rsid w:val="29B07D9B"/>
    <w:rsid w:val="29C039B9"/>
    <w:rsid w:val="29D458B9"/>
    <w:rsid w:val="29E4371A"/>
    <w:rsid w:val="2A1A5FBD"/>
    <w:rsid w:val="2A817229"/>
    <w:rsid w:val="2AD969D3"/>
    <w:rsid w:val="2B0D7FCC"/>
    <w:rsid w:val="2B441C7C"/>
    <w:rsid w:val="2B4E3843"/>
    <w:rsid w:val="2BBC700F"/>
    <w:rsid w:val="2BE23208"/>
    <w:rsid w:val="2BFF09B0"/>
    <w:rsid w:val="2C1A3BA3"/>
    <w:rsid w:val="2C364D8D"/>
    <w:rsid w:val="2C3A4159"/>
    <w:rsid w:val="2C63613C"/>
    <w:rsid w:val="2C724DF3"/>
    <w:rsid w:val="2CB40976"/>
    <w:rsid w:val="2D1C7FF0"/>
    <w:rsid w:val="2D320B84"/>
    <w:rsid w:val="2D3D22E1"/>
    <w:rsid w:val="2D3F0F3B"/>
    <w:rsid w:val="2D4D0BE6"/>
    <w:rsid w:val="2D901A1C"/>
    <w:rsid w:val="2D9A1CFF"/>
    <w:rsid w:val="2DC7536D"/>
    <w:rsid w:val="2DEE6A8E"/>
    <w:rsid w:val="2DEF45F9"/>
    <w:rsid w:val="2E573403"/>
    <w:rsid w:val="2E6005A8"/>
    <w:rsid w:val="2E9D7790"/>
    <w:rsid w:val="2ED424E1"/>
    <w:rsid w:val="2ED66E54"/>
    <w:rsid w:val="2F997ED4"/>
    <w:rsid w:val="2FA5250C"/>
    <w:rsid w:val="2FB81127"/>
    <w:rsid w:val="2FD517C8"/>
    <w:rsid w:val="2FD90032"/>
    <w:rsid w:val="2FFE7798"/>
    <w:rsid w:val="30000CED"/>
    <w:rsid w:val="30152F93"/>
    <w:rsid w:val="30245132"/>
    <w:rsid w:val="30477527"/>
    <w:rsid w:val="309F65B9"/>
    <w:rsid w:val="30CC4E4A"/>
    <w:rsid w:val="31446D97"/>
    <w:rsid w:val="316C5ED3"/>
    <w:rsid w:val="31EE2BD5"/>
    <w:rsid w:val="3256087D"/>
    <w:rsid w:val="325B65BA"/>
    <w:rsid w:val="3292480B"/>
    <w:rsid w:val="33134422"/>
    <w:rsid w:val="334D1BAE"/>
    <w:rsid w:val="33996954"/>
    <w:rsid w:val="33A92328"/>
    <w:rsid w:val="33D65ECC"/>
    <w:rsid w:val="33EC649E"/>
    <w:rsid w:val="33F05942"/>
    <w:rsid w:val="340232E0"/>
    <w:rsid w:val="34485B8D"/>
    <w:rsid w:val="34595824"/>
    <w:rsid w:val="347E4184"/>
    <w:rsid w:val="34863EE9"/>
    <w:rsid w:val="34A52EE5"/>
    <w:rsid w:val="34B146C5"/>
    <w:rsid w:val="34BE6E6E"/>
    <w:rsid w:val="34C26557"/>
    <w:rsid w:val="34D30830"/>
    <w:rsid w:val="34D86900"/>
    <w:rsid w:val="34EE786A"/>
    <w:rsid w:val="350F5FE5"/>
    <w:rsid w:val="351654A5"/>
    <w:rsid w:val="354E15DF"/>
    <w:rsid w:val="354E2771"/>
    <w:rsid w:val="35891FEA"/>
    <w:rsid w:val="35A34EBC"/>
    <w:rsid w:val="35D513DC"/>
    <w:rsid w:val="360E7FCD"/>
    <w:rsid w:val="360F0662"/>
    <w:rsid w:val="365157A8"/>
    <w:rsid w:val="366A7DF5"/>
    <w:rsid w:val="368A3A7C"/>
    <w:rsid w:val="368F5C6F"/>
    <w:rsid w:val="36F66D66"/>
    <w:rsid w:val="370F72D9"/>
    <w:rsid w:val="37311A5B"/>
    <w:rsid w:val="38005ABB"/>
    <w:rsid w:val="38492792"/>
    <w:rsid w:val="388C2CFD"/>
    <w:rsid w:val="38C61F93"/>
    <w:rsid w:val="38E847D7"/>
    <w:rsid w:val="3904005C"/>
    <w:rsid w:val="39311B87"/>
    <w:rsid w:val="394810E8"/>
    <w:rsid w:val="39A61EC3"/>
    <w:rsid w:val="39E977DE"/>
    <w:rsid w:val="39EA5A15"/>
    <w:rsid w:val="39EA7AE8"/>
    <w:rsid w:val="39EE088B"/>
    <w:rsid w:val="3A1A0376"/>
    <w:rsid w:val="3A5941F5"/>
    <w:rsid w:val="3A680535"/>
    <w:rsid w:val="3A7760DB"/>
    <w:rsid w:val="3B0F447F"/>
    <w:rsid w:val="3B107A6F"/>
    <w:rsid w:val="3B1B08ED"/>
    <w:rsid w:val="3B23548F"/>
    <w:rsid w:val="3BB34E7F"/>
    <w:rsid w:val="3BF05E2E"/>
    <w:rsid w:val="3C01029A"/>
    <w:rsid w:val="3C02392C"/>
    <w:rsid w:val="3C17350B"/>
    <w:rsid w:val="3C25218A"/>
    <w:rsid w:val="3C521018"/>
    <w:rsid w:val="3C7B2E6F"/>
    <w:rsid w:val="3C897551"/>
    <w:rsid w:val="3CDB0A1A"/>
    <w:rsid w:val="3CDD5F39"/>
    <w:rsid w:val="3CF950D5"/>
    <w:rsid w:val="3D037708"/>
    <w:rsid w:val="3D0D6277"/>
    <w:rsid w:val="3D2B640C"/>
    <w:rsid w:val="3D793D8D"/>
    <w:rsid w:val="3D8079B1"/>
    <w:rsid w:val="3D812D70"/>
    <w:rsid w:val="3DEB2B85"/>
    <w:rsid w:val="3E0435DD"/>
    <w:rsid w:val="3E1A466E"/>
    <w:rsid w:val="3E1C7DA7"/>
    <w:rsid w:val="3E354ECE"/>
    <w:rsid w:val="3E463963"/>
    <w:rsid w:val="3E5C4DED"/>
    <w:rsid w:val="3E7F10A4"/>
    <w:rsid w:val="3E8F74DA"/>
    <w:rsid w:val="3EE673DB"/>
    <w:rsid w:val="3F284391"/>
    <w:rsid w:val="3F2B5012"/>
    <w:rsid w:val="3F7B7D79"/>
    <w:rsid w:val="3F996C34"/>
    <w:rsid w:val="3FC76ED3"/>
    <w:rsid w:val="3FD716B2"/>
    <w:rsid w:val="3FFA30F5"/>
    <w:rsid w:val="40007123"/>
    <w:rsid w:val="40021B3B"/>
    <w:rsid w:val="40473B4B"/>
    <w:rsid w:val="40715FDF"/>
    <w:rsid w:val="40805F52"/>
    <w:rsid w:val="40D65224"/>
    <w:rsid w:val="40DC76DD"/>
    <w:rsid w:val="40FC2AFC"/>
    <w:rsid w:val="414A33C1"/>
    <w:rsid w:val="420323DA"/>
    <w:rsid w:val="4217238B"/>
    <w:rsid w:val="42356E37"/>
    <w:rsid w:val="424D3B2C"/>
    <w:rsid w:val="426F7AC7"/>
    <w:rsid w:val="429F314A"/>
    <w:rsid w:val="42AB1589"/>
    <w:rsid w:val="431F69FC"/>
    <w:rsid w:val="433E2A23"/>
    <w:rsid w:val="4386034C"/>
    <w:rsid w:val="439B4B04"/>
    <w:rsid w:val="43D35339"/>
    <w:rsid w:val="43E15FE5"/>
    <w:rsid w:val="43E9111A"/>
    <w:rsid w:val="44223290"/>
    <w:rsid w:val="44316D1D"/>
    <w:rsid w:val="44B570FB"/>
    <w:rsid w:val="44C91BED"/>
    <w:rsid w:val="44FF35F6"/>
    <w:rsid w:val="45703C17"/>
    <w:rsid w:val="459754BA"/>
    <w:rsid w:val="460E39E1"/>
    <w:rsid w:val="4631501E"/>
    <w:rsid w:val="46592C88"/>
    <w:rsid w:val="465E4B16"/>
    <w:rsid w:val="46A10F19"/>
    <w:rsid w:val="46A514DB"/>
    <w:rsid w:val="46AC6981"/>
    <w:rsid w:val="46EC4F8E"/>
    <w:rsid w:val="46F844AD"/>
    <w:rsid w:val="471E2B1F"/>
    <w:rsid w:val="47376C28"/>
    <w:rsid w:val="473D5FE3"/>
    <w:rsid w:val="47700398"/>
    <w:rsid w:val="47711D1B"/>
    <w:rsid w:val="47766EFA"/>
    <w:rsid w:val="482A0EA6"/>
    <w:rsid w:val="485A4F1B"/>
    <w:rsid w:val="48AE4F3B"/>
    <w:rsid w:val="48C41305"/>
    <w:rsid w:val="48E50D23"/>
    <w:rsid w:val="48EB4B99"/>
    <w:rsid w:val="49287BC3"/>
    <w:rsid w:val="493F1FB1"/>
    <w:rsid w:val="49B4297B"/>
    <w:rsid w:val="49D22EBB"/>
    <w:rsid w:val="49F2325E"/>
    <w:rsid w:val="4A0C0273"/>
    <w:rsid w:val="4A2C72D8"/>
    <w:rsid w:val="4A2D7166"/>
    <w:rsid w:val="4A8D5CAB"/>
    <w:rsid w:val="4A996B02"/>
    <w:rsid w:val="4AAE4326"/>
    <w:rsid w:val="4B087A64"/>
    <w:rsid w:val="4B356480"/>
    <w:rsid w:val="4B9C2B9C"/>
    <w:rsid w:val="4BCC7BDF"/>
    <w:rsid w:val="4BDE6EE5"/>
    <w:rsid w:val="4BF31AEA"/>
    <w:rsid w:val="4C133D69"/>
    <w:rsid w:val="4C22171A"/>
    <w:rsid w:val="4C337D43"/>
    <w:rsid w:val="4C6F2808"/>
    <w:rsid w:val="4CBB726B"/>
    <w:rsid w:val="4CE65574"/>
    <w:rsid w:val="4D3756DE"/>
    <w:rsid w:val="4D585546"/>
    <w:rsid w:val="4D9A7433"/>
    <w:rsid w:val="4DB92781"/>
    <w:rsid w:val="4DBB3D45"/>
    <w:rsid w:val="4DC50D0D"/>
    <w:rsid w:val="4DDF4EC6"/>
    <w:rsid w:val="4DF02C2E"/>
    <w:rsid w:val="4DF256EB"/>
    <w:rsid w:val="4E1A292D"/>
    <w:rsid w:val="4E3D1876"/>
    <w:rsid w:val="4E8A68A3"/>
    <w:rsid w:val="4E8E3729"/>
    <w:rsid w:val="4F05185B"/>
    <w:rsid w:val="4F0B204D"/>
    <w:rsid w:val="4F476CF4"/>
    <w:rsid w:val="4F6374B2"/>
    <w:rsid w:val="4F7A67CC"/>
    <w:rsid w:val="4F985456"/>
    <w:rsid w:val="4FA431E8"/>
    <w:rsid w:val="4FBA6A9F"/>
    <w:rsid w:val="4FE9103E"/>
    <w:rsid w:val="4FF61D5A"/>
    <w:rsid w:val="50052797"/>
    <w:rsid w:val="501A09D7"/>
    <w:rsid w:val="50764D1E"/>
    <w:rsid w:val="508C042B"/>
    <w:rsid w:val="50915DAD"/>
    <w:rsid w:val="509742C6"/>
    <w:rsid w:val="50EA2082"/>
    <w:rsid w:val="51037BB7"/>
    <w:rsid w:val="51264ABB"/>
    <w:rsid w:val="514A70CD"/>
    <w:rsid w:val="51B64A79"/>
    <w:rsid w:val="51BF7EC8"/>
    <w:rsid w:val="51C10215"/>
    <w:rsid w:val="51C3092C"/>
    <w:rsid w:val="51DA63B9"/>
    <w:rsid w:val="521A1FCA"/>
    <w:rsid w:val="526E7A0D"/>
    <w:rsid w:val="52D20916"/>
    <w:rsid w:val="52ED067E"/>
    <w:rsid w:val="531D2D6C"/>
    <w:rsid w:val="532B5CCD"/>
    <w:rsid w:val="53623A53"/>
    <w:rsid w:val="53903AAB"/>
    <w:rsid w:val="53CD391A"/>
    <w:rsid w:val="54386749"/>
    <w:rsid w:val="544968CF"/>
    <w:rsid w:val="54A32EBC"/>
    <w:rsid w:val="54F850E3"/>
    <w:rsid w:val="551578E6"/>
    <w:rsid w:val="55490EA4"/>
    <w:rsid w:val="55661A5C"/>
    <w:rsid w:val="55692860"/>
    <w:rsid w:val="558B5C62"/>
    <w:rsid w:val="5597357E"/>
    <w:rsid w:val="55D02EBC"/>
    <w:rsid w:val="5618487F"/>
    <w:rsid w:val="563535A6"/>
    <w:rsid w:val="563C6B9C"/>
    <w:rsid w:val="5644159D"/>
    <w:rsid w:val="565B3463"/>
    <w:rsid w:val="56750286"/>
    <w:rsid w:val="568E794C"/>
    <w:rsid w:val="56AB3614"/>
    <w:rsid w:val="56C80CEC"/>
    <w:rsid w:val="56DE0C51"/>
    <w:rsid w:val="56E71B69"/>
    <w:rsid w:val="57033568"/>
    <w:rsid w:val="571B72E0"/>
    <w:rsid w:val="578E31E2"/>
    <w:rsid w:val="579027D0"/>
    <w:rsid w:val="57934920"/>
    <w:rsid w:val="57A704DA"/>
    <w:rsid w:val="57B8121A"/>
    <w:rsid w:val="57BB6D26"/>
    <w:rsid w:val="57C27201"/>
    <w:rsid w:val="57D111D5"/>
    <w:rsid w:val="57D20969"/>
    <w:rsid w:val="58025DA7"/>
    <w:rsid w:val="58173946"/>
    <w:rsid w:val="585471AB"/>
    <w:rsid w:val="585C5819"/>
    <w:rsid w:val="58645277"/>
    <w:rsid w:val="58F66779"/>
    <w:rsid w:val="5940742D"/>
    <w:rsid w:val="5984742D"/>
    <w:rsid w:val="598B07B1"/>
    <w:rsid w:val="599E4354"/>
    <w:rsid w:val="59CB1B80"/>
    <w:rsid w:val="5A2307EA"/>
    <w:rsid w:val="5A573868"/>
    <w:rsid w:val="5A6C7FC2"/>
    <w:rsid w:val="5AA22C6F"/>
    <w:rsid w:val="5B4F3D07"/>
    <w:rsid w:val="5B537877"/>
    <w:rsid w:val="5B677413"/>
    <w:rsid w:val="5B990022"/>
    <w:rsid w:val="5BBA73D6"/>
    <w:rsid w:val="5BF57E15"/>
    <w:rsid w:val="5C2E5195"/>
    <w:rsid w:val="5C3B6B17"/>
    <w:rsid w:val="5C8A7D7F"/>
    <w:rsid w:val="5C9A1521"/>
    <w:rsid w:val="5CE03E43"/>
    <w:rsid w:val="5CF03A7A"/>
    <w:rsid w:val="5D10383C"/>
    <w:rsid w:val="5D296B21"/>
    <w:rsid w:val="5D34726B"/>
    <w:rsid w:val="5D3A4435"/>
    <w:rsid w:val="5DBF0D2C"/>
    <w:rsid w:val="5DE844F8"/>
    <w:rsid w:val="5DF05FB7"/>
    <w:rsid w:val="5E1645ED"/>
    <w:rsid w:val="5E2D5F56"/>
    <w:rsid w:val="5E6D5F2C"/>
    <w:rsid w:val="5EC66DC6"/>
    <w:rsid w:val="5F2D381D"/>
    <w:rsid w:val="5F4653E5"/>
    <w:rsid w:val="5F673FB1"/>
    <w:rsid w:val="5F7E3EA9"/>
    <w:rsid w:val="6007605D"/>
    <w:rsid w:val="60165763"/>
    <w:rsid w:val="60712077"/>
    <w:rsid w:val="609837B0"/>
    <w:rsid w:val="60B22982"/>
    <w:rsid w:val="60F90AA0"/>
    <w:rsid w:val="611439F1"/>
    <w:rsid w:val="61330FD5"/>
    <w:rsid w:val="614930BC"/>
    <w:rsid w:val="618C0215"/>
    <w:rsid w:val="61926F12"/>
    <w:rsid w:val="61A56E96"/>
    <w:rsid w:val="61A97F33"/>
    <w:rsid w:val="621E255F"/>
    <w:rsid w:val="62697054"/>
    <w:rsid w:val="6276598E"/>
    <w:rsid w:val="6285153F"/>
    <w:rsid w:val="628D6238"/>
    <w:rsid w:val="629D333B"/>
    <w:rsid w:val="62AB1221"/>
    <w:rsid w:val="62B20092"/>
    <w:rsid w:val="62C17590"/>
    <w:rsid w:val="62C80A6C"/>
    <w:rsid w:val="62CC4586"/>
    <w:rsid w:val="62DA193B"/>
    <w:rsid w:val="62DA4B30"/>
    <w:rsid w:val="62FF05FA"/>
    <w:rsid w:val="63576E32"/>
    <w:rsid w:val="636576E2"/>
    <w:rsid w:val="6382622B"/>
    <w:rsid w:val="638612C9"/>
    <w:rsid w:val="6394656B"/>
    <w:rsid w:val="63CB158D"/>
    <w:rsid w:val="640D6D9B"/>
    <w:rsid w:val="64195646"/>
    <w:rsid w:val="64324710"/>
    <w:rsid w:val="64B35D4D"/>
    <w:rsid w:val="64C80BEE"/>
    <w:rsid w:val="64FA14F9"/>
    <w:rsid w:val="65104B6C"/>
    <w:rsid w:val="6533388E"/>
    <w:rsid w:val="657217B6"/>
    <w:rsid w:val="6588279E"/>
    <w:rsid w:val="65A939E7"/>
    <w:rsid w:val="65AE0112"/>
    <w:rsid w:val="65B14984"/>
    <w:rsid w:val="65C32A70"/>
    <w:rsid w:val="6637260C"/>
    <w:rsid w:val="66447DFC"/>
    <w:rsid w:val="669235AC"/>
    <w:rsid w:val="66DF190B"/>
    <w:rsid w:val="66FC3809"/>
    <w:rsid w:val="67151E24"/>
    <w:rsid w:val="672E1686"/>
    <w:rsid w:val="675B74F9"/>
    <w:rsid w:val="67964A8C"/>
    <w:rsid w:val="67B27524"/>
    <w:rsid w:val="67E426CD"/>
    <w:rsid w:val="682C52A1"/>
    <w:rsid w:val="68370E13"/>
    <w:rsid w:val="68461AE5"/>
    <w:rsid w:val="685860D3"/>
    <w:rsid w:val="68973D43"/>
    <w:rsid w:val="689C6198"/>
    <w:rsid w:val="68D579D8"/>
    <w:rsid w:val="68F95CBF"/>
    <w:rsid w:val="690E34A0"/>
    <w:rsid w:val="696C46D7"/>
    <w:rsid w:val="698020DD"/>
    <w:rsid w:val="699F21D7"/>
    <w:rsid w:val="69C452C6"/>
    <w:rsid w:val="69CC1F6C"/>
    <w:rsid w:val="69CC6C47"/>
    <w:rsid w:val="69E84235"/>
    <w:rsid w:val="69F43576"/>
    <w:rsid w:val="6A10561D"/>
    <w:rsid w:val="6A127394"/>
    <w:rsid w:val="6A4819E2"/>
    <w:rsid w:val="6A5008AE"/>
    <w:rsid w:val="6A520DAB"/>
    <w:rsid w:val="6A630B75"/>
    <w:rsid w:val="6A68014F"/>
    <w:rsid w:val="6A6C6118"/>
    <w:rsid w:val="6AB6515A"/>
    <w:rsid w:val="6AC224E3"/>
    <w:rsid w:val="6AD664B2"/>
    <w:rsid w:val="6ADA1235"/>
    <w:rsid w:val="6B1D4A21"/>
    <w:rsid w:val="6B3D54FB"/>
    <w:rsid w:val="6B3E618C"/>
    <w:rsid w:val="6B9656E9"/>
    <w:rsid w:val="6BAC54CD"/>
    <w:rsid w:val="6BE37597"/>
    <w:rsid w:val="6C052388"/>
    <w:rsid w:val="6C2328CF"/>
    <w:rsid w:val="6CA92454"/>
    <w:rsid w:val="6CBF59F3"/>
    <w:rsid w:val="6CCE756F"/>
    <w:rsid w:val="6CF638E3"/>
    <w:rsid w:val="6CFC4B09"/>
    <w:rsid w:val="6D000BE4"/>
    <w:rsid w:val="6D3F4FB5"/>
    <w:rsid w:val="6D7812DB"/>
    <w:rsid w:val="6DC532AB"/>
    <w:rsid w:val="6DCB0E6B"/>
    <w:rsid w:val="6DCF30A0"/>
    <w:rsid w:val="6DCF3D0A"/>
    <w:rsid w:val="6DD52D72"/>
    <w:rsid w:val="6DE5323B"/>
    <w:rsid w:val="6E9A099C"/>
    <w:rsid w:val="6E9E57CE"/>
    <w:rsid w:val="6EC6436C"/>
    <w:rsid w:val="6ECA7B5E"/>
    <w:rsid w:val="6EF5775B"/>
    <w:rsid w:val="6F0002C7"/>
    <w:rsid w:val="6F0046D6"/>
    <w:rsid w:val="6F2E47A0"/>
    <w:rsid w:val="6F322079"/>
    <w:rsid w:val="6F4D29CB"/>
    <w:rsid w:val="6F4E48CB"/>
    <w:rsid w:val="6F611269"/>
    <w:rsid w:val="6F8D1259"/>
    <w:rsid w:val="6FA0385D"/>
    <w:rsid w:val="6FB470AF"/>
    <w:rsid w:val="6FBF3781"/>
    <w:rsid w:val="6FC33E7B"/>
    <w:rsid w:val="7049540E"/>
    <w:rsid w:val="70661533"/>
    <w:rsid w:val="7071458B"/>
    <w:rsid w:val="70C44E9E"/>
    <w:rsid w:val="70D45506"/>
    <w:rsid w:val="71161CE6"/>
    <w:rsid w:val="71185B27"/>
    <w:rsid w:val="716C2B67"/>
    <w:rsid w:val="71C73922"/>
    <w:rsid w:val="71DA3454"/>
    <w:rsid w:val="72152428"/>
    <w:rsid w:val="721D5176"/>
    <w:rsid w:val="723808EA"/>
    <w:rsid w:val="723A42E4"/>
    <w:rsid w:val="7241536C"/>
    <w:rsid w:val="725A2D85"/>
    <w:rsid w:val="726A7FB8"/>
    <w:rsid w:val="72813A5C"/>
    <w:rsid w:val="72CE7148"/>
    <w:rsid w:val="731B6594"/>
    <w:rsid w:val="73417669"/>
    <w:rsid w:val="735E7AC1"/>
    <w:rsid w:val="73792E46"/>
    <w:rsid w:val="73806AB9"/>
    <w:rsid w:val="739A5B86"/>
    <w:rsid w:val="73AD2A6E"/>
    <w:rsid w:val="73C86AFA"/>
    <w:rsid w:val="73F30157"/>
    <w:rsid w:val="73FE4A94"/>
    <w:rsid w:val="74161104"/>
    <w:rsid w:val="741C3E0E"/>
    <w:rsid w:val="744901BF"/>
    <w:rsid w:val="74802E6F"/>
    <w:rsid w:val="7486680C"/>
    <w:rsid w:val="75350964"/>
    <w:rsid w:val="754C02ED"/>
    <w:rsid w:val="754D7D4D"/>
    <w:rsid w:val="75514BF9"/>
    <w:rsid w:val="755F4319"/>
    <w:rsid w:val="7581413D"/>
    <w:rsid w:val="75821E7B"/>
    <w:rsid w:val="759D6EC3"/>
    <w:rsid w:val="7677237E"/>
    <w:rsid w:val="767B6CD8"/>
    <w:rsid w:val="768030F0"/>
    <w:rsid w:val="76E65A6A"/>
    <w:rsid w:val="76E913A2"/>
    <w:rsid w:val="770B5646"/>
    <w:rsid w:val="7737657F"/>
    <w:rsid w:val="776169AF"/>
    <w:rsid w:val="77894983"/>
    <w:rsid w:val="77AF1F63"/>
    <w:rsid w:val="77C2335C"/>
    <w:rsid w:val="77CE434F"/>
    <w:rsid w:val="77DC7908"/>
    <w:rsid w:val="77EF1412"/>
    <w:rsid w:val="781F15DD"/>
    <w:rsid w:val="783C7E10"/>
    <w:rsid w:val="78451E96"/>
    <w:rsid w:val="78784D1F"/>
    <w:rsid w:val="78CD4E24"/>
    <w:rsid w:val="79190FAC"/>
    <w:rsid w:val="79471B73"/>
    <w:rsid w:val="79592854"/>
    <w:rsid w:val="79745C18"/>
    <w:rsid w:val="7980795F"/>
    <w:rsid w:val="7985499D"/>
    <w:rsid w:val="798650C1"/>
    <w:rsid w:val="799F718E"/>
    <w:rsid w:val="79A154E2"/>
    <w:rsid w:val="79AF71BD"/>
    <w:rsid w:val="79B05C6F"/>
    <w:rsid w:val="79C4233C"/>
    <w:rsid w:val="79C8598C"/>
    <w:rsid w:val="79DA4214"/>
    <w:rsid w:val="79DB49EE"/>
    <w:rsid w:val="79F72FA3"/>
    <w:rsid w:val="7A236814"/>
    <w:rsid w:val="7A510614"/>
    <w:rsid w:val="7A626C7D"/>
    <w:rsid w:val="7A9942DA"/>
    <w:rsid w:val="7AC30038"/>
    <w:rsid w:val="7AFB4146"/>
    <w:rsid w:val="7B0674E0"/>
    <w:rsid w:val="7B11123A"/>
    <w:rsid w:val="7B3705B0"/>
    <w:rsid w:val="7B51005B"/>
    <w:rsid w:val="7BA10032"/>
    <w:rsid w:val="7BBC588B"/>
    <w:rsid w:val="7BC4531E"/>
    <w:rsid w:val="7C3A053E"/>
    <w:rsid w:val="7C3A1B18"/>
    <w:rsid w:val="7C4313EA"/>
    <w:rsid w:val="7C6E1E61"/>
    <w:rsid w:val="7C8100A0"/>
    <w:rsid w:val="7CA044EB"/>
    <w:rsid w:val="7CAA74D6"/>
    <w:rsid w:val="7CC26D97"/>
    <w:rsid w:val="7CCA5FAE"/>
    <w:rsid w:val="7CDD4F4E"/>
    <w:rsid w:val="7D196F81"/>
    <w:rsid w:val="7D530A7A"/>
    <w:rsid w:val="7D580E3B"/>
    <w:rsid w:val="7D601BC5"/>
    <w:rsid w:val="7D706ED2"/>
    <w:rsid w:val="7D9676BA"/>
    <w:rsid w:val="7D982A0E"/>
    <w:rsid w:val="7DD32638"/>
    <w:rsid w:val="7DDA691F"/>
    <w:rsid w:val="7DE76EC6"/>
    <w:rsid w:val="7DEF4AE0"/>
    <w:rsid w:val="7E18665B"/>
    <w:rsid w:val="7E7025A9"/>
    <w:rsid w:val="7EC71ED8"/>
    <w:rsid w:val="7EE7039C"/>
    <w:rsid w:val="7F087612"/>
    <w:rsid w:val="7F5011C9"/>
    <w:rsid w:val="7F58130E"/>
    <w:rsid w:val="7FB81C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b/>
      <w:kern w:val="0"/>
      <w:sz w:val="27"/>
      <w:szCs w:val="27"/>
    </w:rPr>
  </w:style>
  <w:style w:type="paragraph" w:styleId="5">
    <w:name w:val="heading 5"/>
    <w:basedOn w:val="1"/>
    <w:next w:val="1"/>
    <w:link w:val="51"/>
    <w:semiHidden/>
    <w:unhideWhenUsed/>
    <w:qFormat/>
    <w:uiPriority w:val="9"/>
    <w:pPr>
      <w:keepNext/>
      <w:keepLines/>
      <w:spacing w:before="280" w:after="290" w:line="376" w:lineRule="auto"/>
      <w:outlineLvl w:val="4"/>
    </w:pPr>
    <w:rPr>
      <w:b/>
      <w:bCs/>
      <w:sz w:val="28"/>
      <w:szCs w:val="28"/>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6">
    <w:name w:val="caption"/>
    <w:basedOn w:val="1"/>
    <w:next w:val="1"/>
    <w:qFormat/>
    <w:uiPriority w:val="99"/>
    <w:rPr>
      <w:rFonts w:ascii="Calibri Light" w:hAnsi="Calibri Light" w:eastAsia="黑体"/>
      <w:sz w:val="20"/>
      <w:szCs w:val="20"/>
    </w:rPr>
  </w:style>
  <w:style w:type="paragraph" w:styleId="7">
    <w:name w:val="annotation text"/>
    <w:basedOn w:val="1"/>
    <w:link w:val="32"/>
    <w:semiHidden/>
    <w:unhideWhenUsed/>
    <w:qFormat/>
    <w:uiPriority w:val="99"/>
    <w:pPr>
      <w:jc w:val="left"/>
    </w:pPr>
  </w:style>
  <w:style w:type="paragraph" w:styleId="8">
    <w:name w:val="Body Text Indent"/>
    <w:basedOn w:val="1"/>
    <w:qFormat/>
    <w:uiPriority w:val="0"/>
    <w:pPr>
      <w:ind w:firstLine="449" w:firstLineChars="187"/>
    </w:pPr>
    <w:rPr>
      <w:sz w:val="24"/>
    </w:rPr>
  </w:style>
  <w:style w:type="paragraph" w:styleId="9">
    <w:name w:val="Plain Text"/>
    <w:basedOn w:val="1"/>
    <w:link w:val="47"/>
    <w:qFormat/>
    <w:uiPriority w:val="0"/>
    <w:rPr>
      <w:rFonts w:hint="eastAsia" w:ascii="宋体" w:hAnsi="Courier New"/>
      <w:szCs w:val="20"/>
    </w:rPr>
  </w:style>
  <w:style w:type="paragraph" w:styleId="10">
    <w:name w:val="Date"/>
    <w:basedOn w:val="1"/>
    <w:next w:val="1"/>
    <w:qFormat/>
    <w:uiPriority w:val="0"/>
    <w:pPr>
      <w:ind w:left="100" w:leftChars="2500"/>
    </w:pPr>
  </w:style>
  <w:style w:type="paragraph" w:styleId="11">
    <w:name w:val="Balloon Text"/>
    <w:basedOn w:val="1"/>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tabs>
        <w:tab w:val="right" w:leader="dot" w:pos="8630"/>
      </w:tabs>
      <w:spacing w:line="360" w:lineRule="auto"/>
    </w:pPr>
  </w:style>
  <w:style w:type="paragraph" w:styleId="15">
    <w:name w:val="toc 2"/>
    <w:basedOn w:val="1"/>
    <w:next w:val="1"/>
    <w:qFormat/>
    <w:uiPriority w:val="39"/>
    <w:pPr>
      <w:tabs>
        <w:tab w:val="right" w:leader="dot" w:pos="8630"/>
      </w:tabs>
      <w:spacing w:line="360" w:lineRule="auto"/>
    </w:pPr>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7">
    <w:name w:val="annotation subject"/>
    <w:basedOn w:val="7"/>
    <w:next w:val="7"/>
    <w:link w:val="33"/>
    <w:semiHidden/>
    <w:unhideWhenUsed/>
    <w:qFormat/>
    <w:uiPriority w:val="99"/>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page number"/>
    <w:basedOn w:val="20"/>
    <w:qFormat/>
    <w:uiPriority w:val="0"/>
  </w:style>
  <w:style w:type="character" w:styleId="23">
    <w:name w:val="Emphasis"/>
    <w:basedOn w:val="20"/>
    <w:qFormat/>
    <w:uiPriority w:val="20"/>
    <w:rPr>
      <w:i/>
      <w:iCs/>
    </w:rPr>
  </w:style>
  <w:style w:type="character" w:styleId="24">
    <w:name w:val="Hyperlink"/>
    <w:basedOn w:val="20"/>
    <w:qFormat/>
    <w:uiPriority w:val="99"/>
    <w:rPr>
      <w:color w:val="0000FF"/>
      <w:u w:val="single"/>
    </w:rPr>
  </w:style>
  <w:style w:type="character" w:styleId="25">
    <w:name w:val="annotation reference"/>
    <w:basedOn w:val="20"/>
    <w:semiHidden/>
    <w:unhideWhenUsed/>
    <w:qFormat/>
    <w:uiPriority w:val="99"/>
    <w:rPr>
      <w:sz w:val="21"/>
      <w:szCs w:val="21"/>
    </w:rPr>
  </w:style>
  <w:style w:type="character" w:customStyle="1" w:styleId="26">
    <w:name w:val="标题 2 字符"/>
    <w:basedOn w:val="20"/>
    <w:link w:val="3"/>
    <w:qFormat/>
    <w:uiPriority w:val="0"/>
    <w:rPr>
      <w:rFonts w:ascii="Arial" w:hAnsi="Arial" w:eastAsia="黑体"/>
      <w:b/>
      <w:bCs/>
      <w:kern w:val="2"/>
      <w:sz w:val="32"/>
      <w:szCs w:val="32"/>
      <w:lang w:val="en-US" w:eastAsia="zh-CN" w:bidi="ar-SA"/>
    </w:rPr>
  </w:style>
  <w:style w:type="paragraph" w:customStyle="1" w:styleId="27">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8">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9">
    <w:name w:val="Char Char Char Char Char Char Char Char Char Char Char Char Char Char Char Char"/>
    <w:basedOn w:val="1"/>
    <w:qFormat/>
    <w:uiPriority w:val="0"/>
    <w:pPr>
      <w:tabs>
        <w:tab w:val="left" w:pos="360"/>
      </w:tabs>
    </w:pPr>
    <w:rPr>
      <w:sz w:val="24"/>
    </w:rPr>
  </w:style>
  <w:style w:type="character" w:styleId="30">
    <w:name w:val="Placeholder Text"/>
    <w:basedOn w:val="20"/>
    <w:semiHidden/>
    <w:qFormat/>
    <w:uiPriority w:val="99"/>
    <w:rPr>
      <w:color w:val="808080"/>
    </w:rPr>
  </w:style>
  <w:style w:type="character" w:customStyle="1" w:styleId="31">
    <w:name w:val="标题 1 字符"/>
    <w:basedOn w:val="20"/>
    <w:link w:val="2"/>
    <w:qFormat/>
    <w:uiPriority w:val="0"/>
    <w:rPr>
      <w:b/>
      <w:bCs/>
      <w:kern w:val="44"/>
      <w:sz w:val="44"/>
      <w:szCs w:val="44"/>
    </w:rPr>
  </w:style>
  <w:style w:type="character" w:customStyle="1" w:styleId="32">
    <w:name w:val="批注文字 字符"/>
    <w:basedOn w:val="20"/>
    <w:link w:val="7"/>
    <w:semiHidden/>
    <w:qFormat/>
    <w:uiPriority w:val="99"/>
    <w:rPr>
      <w:kern w:val="2"/>
      <w:sz w:val="21"/>
      <w:szCs w:val="24"/>
    </w:rPr>
  </w:style>
  <w:style w:type="character" w:customStyle="1" w:styleId="33">
    <w:name w:val="批注主题 字符"/>
    <w:basedOn w:val="32"/>
    <w:link w:val="17"/>
    <w:semiHidden/>
    <w:qFormat/>
    <w:uiPriority w:val="99"/>
    <w:rPr>
      <w:b/>
      <w:bCs/>
      <w:kern w:val="2"/>
      <w:sz w:val="21"/>
      <w:szCs w:val="24"/>
    </w:rPr>
  </w:style>
  <w:style w:type="paragraph" w:customStyle="1" w:styleId="3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5">
    <w:name w:val="段 Char"/>
    <w:link w:val="36"/>
    <w:qFormat/>
    <w:uiPriority w:val="0"/>
    <w:rPr>
      <w:rFonts w:ascii="宋体"/>
      <w:sz w:val="21"/>
    </w:rPr>
  </w:style>
  <w:style w:type="paragraph" w:customStyle="1" w:styleId="36">
    <w:name w:val="段"/>
    <w:link w:val="3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7">
    <w:name w:val="PARAGRAPH Char"/>
    <w:link w:val="38"/>
    <w:uiPriority w:val="0"/>
    <w:rPr>
      <w:rFonts w:ascii="Arial" w:hAnsi="Arial" w:cs="Arial"/>
      <w:spacing w:val="8"/>
      <w:lang w:val="en-GB"/>
    </w:rPr>
  </w:style>
  <w:style w:type="paragraph" w:customStyle="1" w:styleId="38">
    <w:name w:val="PARAGRAPH"/>
    <w:link w:val="37"/>
    <w:qFormat/>
    <w:uiPriority w:val="0"/>
    <w:pPr>
      <w:snapToGrid w:val="0"/>
      <w:spacing w:before="100" w:after="200"/>
      <w:jc w:val="both"/>
    </w:pPr>
    <w:rPr>
      <w:rFonts w:ascii="Arial" w:hAnsi="Arial" w:eastAsia="宋体" w:cs="Arial"/>
      <w:spacing w:val="8"/>
      <w:lang w:val="en-GB" w:eastAsia="zh-CN" w:bidi="ar-SA"/>
    </w:rPr>
  </w:style>
  <w:style w:type="paragraph" w:customStyle="1" w:styleId="39">
    <w:name w:val="附录二级条标题"/>
    <w:basedOn w:val="1"/>
    <w:next w:val="1"/>
    <w:qFormat/>
    <w:uiPriority w:val="0"/>
    <w:pPr>
      <w:widowControl/>
      <w:numPr>
        <w:ilvl w:val="3"/>
        <w:numId w:val="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40">
    <w:name w:val="附录表标题"/>
    <w:basedOn w:val="1"/>
    <w:next w:val="1"/>
    <w:qFormat/>
    <w:uiPriority w:val="0"/>
    <w:pPr>
      <w:numPr>
        <w:ilvl w:val="1"/>
        <w:numId w:val="2"/>
      </w:numPr>
      <w:tabs>
        <w:tab w:val="left" w:pos="180"/>
        <w:tab w:val="left" w:pos="1440"/>
      </w:tabs>
      <w:spacing w:beforeLines="50" w:afterLines="50"/>
      <w:jc w:val="center"/>
    </w:pPr>
    <w:rPr>
      <w:rFonts w:ascii="黑体" w:eastAsia="黑体"/>
      <w:szCs w:val="21"/>
    </w:rPr>
  </w:style>
  <w:style w:type="paragraph" w:customStyle="1" w:styleId="41">
    <w:name w:val="附录图标题"/>
    <w:basedOn w:val="1"/>
    <w:next w:val="1"/>
    <w:qFormat/>
    <w:uiPriority w:val="0"/>
    <w:pPr>
      <w:tabs>
        <w:tab w:val="left" w:pos="363"/>
        <w:tab w:val="left" w:pos="1440"/>
      </w:tabs>
      <w:spacing w:beforeLines="50" w:afterLines="50"/>
      <w:ind w:left="1440" w:hanging="720"/>
      <w:jc w:val="center"/>
    </w:pPr>
    <w:rPr>
      <w:rFonts w:ascii="黑体" w:eastAsia="黑体"/>
      <w:szCs w:val="21"/>
    </w:rPr>
  </w:style>
  <w:style w:type="paragraph" w:customStyle="1" w:styleId="42">
    <w:name w:val="TABLE-col-heading"/>
    <w:basedOn w:val="38"/>
    <w:qFormat/>
    <w:uiPriority w:val="0"/>
    <w:pPr>
      <w:keepNext/>
      <w:spacing w:before="60" w:after="60"/>
      <w:jc w:val="center"/>
    </w:pPr>
    <w:rPr>
      <w:b/>
      <w:bCs/>
      <w:sz w:val="16"/>
      <w:szCs w:val="16"/>
    </w:rPr>
  </w:style>
  <w:style w:type="paragraph" w:customStyle="1" w:styleId="43">
    <w:name w:val="_Style 38"/>
    <w:basedOn w:val="1"/>
    <w:next w:val="44"/>
    <w:qFormat/>
    <w:uiPriority w:val="34"/>
    <w:pPr>
      <w:ind w:firstLine="420" w:firstLineChars="200"/>
    </w:pPr>
    <w:rPr>
      <w:rFonts w:ascii="Calibri" w:hAnsi="Calibri"/>
      <w:szCs w:val="20"/>
    </w:rPr>
  </w:style>
  <w:style w:type="paragraph" w:styleId="44">
    <w:name w:val="List Paragraph"/>
    <w:basedOn w:val="1"/>
    <w:qFormat/>
    <w:uiPriority w:val="99"/>
    <w:pPr>
      <w:ind w:firstLine="420" w:firstLineChars="200"/>
    </w:pPr>
  </w:style>
  <w:style w:type="paragraph" w:customStyle="1" w:styleId="45">
    <w:name w:val="一级条标题"/>
    <w:next w:val="36"/>
    <w:qFormat/>
    <w:uiPriority w:val="0"/>
    <w:pPr>
      <w:numPr>
        <w:ilvl w:val="2"/>
        <w:numId w:val="3"/>
      </w:numPr>
      <w:outlineLvl w:val="2"/>
    </w:pPr>
    <w:rPr>
      <w:rFonts w:ascii="Times New Roman" w:hAnsi="Times New Roman" w:eastAsia="黑体" w:cs="Times New Roman"/>
      <w:sz w:val="21"/>
      <w:lang w:val="en-US" w:eastAsia="zh-CN" w:bidi="ar-SA"/>
    </w:rPr>
  </w:style>
  <w:style w:type="character" w:customStyle="1" w:styleId="46">
    <w:name w:val="short_text"/>
    <w:qFormat/>
    <w:uiPriority w:val="0"/>
  </w:style>
  <w:style w:type="character" w:customStyle="1" w:styleId="47">
    <w:name w:val="纯文本 字符"/>
    <w:link w:val="9"/>
    <w:qFormat/>
    <w:uiPriority w:val="0"/>
    <w:rPr>
      <w:rFonts w:ascii="宋体" w:hAnsi="Courier New"/>
      <w:kern w:val="2"/>
      <w:sz w:val="21"/>
    </w:rPr>
  </w:style>
  <w:style w:type="paragraph" w:customStyle="1" w:styleId="48">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49">
    <w:name w:val="c-color-gray2"/>
    <w:basedOn w:val="20"/>
    <w:qFormat/>
    <w:uiPriority w:val="0"/>
  </w:style>
  <w:style w:type="character" w:customStyle="1" w:styleId="50">
    <w:name w:val="content-right_8zs40"/>
    <w:basedOn w:val="20"/>
    <w:qFormat/>
    <w:uiPriority w:val="0"/>
  </w:style>
  <w:style w:type="character" w:customStyle="1" w:styleId="51">
    <w:name w:val="标题 5 字符"/>
    <w:basedOn w:val="20"/>
    <w:link w:val="5"/>
    <w:semiHidden/>
    <w:qFormat/>
    <w:uiPriority w:val="9"/>
    <w:rPr>
      <w:b/>
      <w:bCs/>
      <w:kern w:val="2"/>
      <w:sz w:val="28"/>
      <w:szCs w:val="28"/>
    </w:rPr>
  </w:style>
  <w:style w:type="character" w:customStyle="1" w:styleId="52">
    <w:name w:val="Unresolved Mention"/>
    <w:basedOn w:val="2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D26BA6-9924-42D0-AF77-32B639590360}">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16</Pages>
  <Words>4215</Words>
  <Characters>5412</Characters>
  <Lines>53</Lines>
  <Paragraphs>15</Paragraphs>
  <TotalTime>1057</TotalTime>
  <ScaleCrop>false</ScaleCrop>
  <LinksUpToDate>false</LinksUpToDate>
  <CharactersWithSpaces>6066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2025-05-05T07:28:00Z</dcterms:created>
  <dc:creator>Lenovo User</dc:creator>
  <cp:lastModifiedBy>Bruis Kim</cp:lastModifiedBy>
  <cp:lastPrinted>2025-05-07T03:24:00Z</cp:lastPrinted>
  <dcterms:modified xsi:type="dcterms:W3CDTF">2025-09-15T14:53:06Z</dcterms:modified>
  <dc:title>JJF</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B1D2A07321BF4AFE8182FCE4D6179910</vt:lpwstr>
  </property>
  <property fmtid="{D5CDD505-2E9C-101B-9397-08002B2CF9AE}" pid="4" name="KSOTemplateDocerSaveRecord">
    <vt:lpwstr>eyJoZGlkIjoiMzEwNTM5NzYwMDRjMzkwZTVkZjY2ODkwMGIxNGU0OTUiLCJ1c2VySWQiOiI1ODE2NTg3NjIifQ==</vt:lpwstr>
  </property>
</Properties>
</file>